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01557">
      <w:pPr>
        <w:spacing w:before="120" w:beforeLines="50" w:line="360" w:lineRule="auto"/>
        <w:rPr>
          <w:rFonts w:ascii="仿宋_GB2312" w:eastAsia="仿宋_GB2312"/>
          <w:color w:val="000000" w:themeColor="text1"/>
          <w:szCs w:val="28"/>
          <w14:textFill>
            <w14:solidFill>
              <w14:schemeClr w14:val="tx1"/>
            </w14:solidFill>
          </w14:textFill>
        </w:rPr>
      </w:pPr>
      <w:r>
        <w:rPr>
          <w:rFonts w:ascii="宋体" w:hAnsi="宋体"/>
          <w:color w:val="000000" w:themeColor="text1"/>
          <w:sz w:val="28"/>
          <w:szCs w:val="28"/>
          <w14:textFill>
            <w14:solidFill>
              <w14:schemeClr w14:val="tx1"/>
            </w14:solidFill>
          </w14:textFill>
        </w:rPr>
        <w:t xml:space="preserve">    </w:t>
      </w:r>
      <w:r>
        <w:rPr>
          <w:rFonts w:ascii="宋体"/>
          <w:color w:val="000000" w:themeColor="text1"/>
          <w:sz w:val="28"/>
          <w:szCs w:val="28"/>
          <w14:textFill>
            <w14:solidFill>
              <w14:schemeClr w14:val="tx1"/>
            </w14:solidFill>
          </w14:textFill>
        </w:rPr>
        <w:tab/>
      </w:r>
      <w:r>
        <w:rPr>
          <w:rFonts w:ascii="宋体" w:hAnsi="宋体"/>
          <w:color w:val="000000" w:themeColor="text1"/>
          <w:sz w:val="28"/>
          <w:szCs w:val="28"/>
          <w14:textFill>
            <w14:solidFill>
              <w14:schemeClr w14:val="tx1"/>
            </w14:solidFill>
          </w14:textFill>
        </w:rPr>
        <w:t xml:space="preserve">   </w:t>
      </w:r>
    </w:p>
    <w:p w14:paraId="164C9EAA">
      <w:pPr>
        <w:pStyle w:val="28"/>
        <w:widowControl/>
        <w:tabs>
          <w:tab w:val="center" w:pos="4649"/>
          <w:tab w:val="right" w:pos="9299"/>
        </w:tabs>
        <w:adjustRightInd w:val="0"/>
        <w:spacing w:after="200" w:line="360" w:lineRule="auto"/>
        <w:jc w:val="both"/>
        <w:rPr>
          <w:rFonts w:hint="eastAsia" w:ascii="黑体" w:hAnsi="黑体" w:eastAsia="黑体"/>
          <w:color w:val="000000" w:themeColor="text1"/>
          <w:kern w:val="0"/>
          <w:sz w:val="52"/>
          <w:szCs w:val="52"/>
          <w14:textFill>
            <w14:solidFill>
              <w14:schemeClr w14:val="tx1"/>
            </w14:solidFill>
          </w14:textFill>
        </w:rPr>
      </w:pPr>
    </w:p>
    <w:p w14:paraId="4CD3AB20">
      <w:pPr>
        <w:pStyle w:val="28"/>
        <w:widowControl/>
        <w:tabs>
          <w:tab w:val="center" w:pos="4649"/>
          <w:tab w:val="right" w:pos="9299"/>
        </w:tabs>
        <w:adjustRightInd w:val="0"/>
        <w:spacing w:after="200" w:line="360" w:lineRule="auto"/>
        <w:jc w:val="center"/>
        <w:rPr>
          <w:rFonts w:hint="eastAsia" w:ascii="黑体" w:hAnsi="黑体" w:eastAsia="黑体"/>
          <w:color w:val="000000" w:themeColor="text1"/>
          <w:sz w:val="52"/>
          <w:szCs w:val="52"/>
          <w14:textFill>
            <w14:solidFill>
              <w14:schemeClr w14:val="tx1"/>
            </w14:solidFill>
          </w14:textFill>
        </w:rPr>
      </w:pPr>
      <w:r>
        <w:rPr>
          <w:rFonts w:hint="eastAsia" w:ascii="黑体" w:hAnsi="黑体" w:eastAsia="黑体"/>
          <w:color w:val="000000" w:themeColor="text1"/>
          <w:kern w:val="0"/>
          <w:sz w:val="52"/>
          <w:szCs w:val="52"/>
          <w14:textFill>
            <w14:solidFill>
              <w14:schemeClr w14:val="tx1"/>
            </w14:solidFill>
          </w14:textFill>
        </w:rPr>
        <w:t>内蒙古青城乳业和牛羊肉交易中心</w:t>
      </w:r>
    </w:p>
    <w:p w14:paraId="6F58B7A6">
      <w:pPr>
        <w:pStyle w:val="28"/>
        <w:widowControl/>
        <w:tabs>
          <w:tab w:val="center" w:pos="4649"/>
          <w:tab w:val="right" w:pos="9299"/>
        </w:tabs>
        <w:adjustRightInd w:val="0"/>
        <w:spacing w:after="200" w:line="360" w:lineRule="auto"/>
        <w:jc w:val="center"/>
        <w:rPr>
          <w:rFonts w:hint="default" w:ascii="黑体" w:hAnsi="黑体" w:eastAsia="黑体"/>
          <w:color w:val="000000" w:themeColor="text1"/>
          <w:kern w:val="0"/>
          <w:sz w:val="52"/>
          <w:szCs w:val="52"/>
          <w:lang w:val="en-US" w:eastAsia="zh-CN"/>
          <w14:textFill>
            <w14:solidFill>
              <w14:schemeClr w14:val="tx1"/>
            </w14:solidFill>
          </w14:textFill>
        </w:rPr>
      </w:pPr>
      <w:r>
        <w:rPr>
          <w:rFonts w:hint="eastAsia" w:ascii="黑体" w:hAnsi="黑体" w:eastAsia="黑体"/>
          <w:color w:val="000000" w:themeColor="text1"/>
          <w:kern w:val="0"/>
          <w:sz w:val="52"/>
          <w:szCs w:val="52"/>
          <w:lang w:val="en-US" w:eastAsia="zh-CN"/>
          <w14:textFill>
            <w14:solidFill>
              <w14:schemeClr w14:val="tx1"/>
            </w14:solidFill>
          </w14:textFill>
        </w:rPr>
        <w:t>粮食串换平台开发服务项目</w:t>
      </w:r>
    </w:p>
    <w:p w14:paraId="398A5105">
      <w:pPr>
        <w:pStyle w:val="28"/>
        <w:widowControl/>
        <w:tabs>
          <w:tab w:val="center" w:pos="4649"/>
          <w:tab w:val="right" w:pos="9299"/>
        </w:tabs>
        <w:adjustRightInd w:val="0"/>
        <w:spacing w:after="200" w:line="360" w:lineRule="auto"/>
        <w:jc w:val="center"/>
        <w:rPr>
          <w:rFonts w:hint="eastAsia" w:ascii="黑体" w:hAnsi="黑体" w:eastAsia="黑体"/>
          <w:color w:val="000000" w:themeColor="text1"/>
          <w:kern w:val="0"/>
          <w:sz w:val="52"/>
          <w:szCs w:val="52"/>
          <w14:textFill>
            <w14:solidFill>
              <w14:schemeClr w14:val="tx1"/>
            </w14:solidFill>
          </w14:textFill>
        </w:rPr>
      </w:pPr>
      <w:r>
        <w:rPr>
          <w:rFonts w:hint="eastAsia" w:ascii="黑体" w:hAnsi="黑体" w:eastAsia="黑体"/>
          <w:color w:val="000000" w:themeColor="text1"/>
          <w:kern w:val="0"/>
          <w:sz w:val="52"/>
          <w:szCs w:val="52"/>
          <w14:textFill>
            <w14:solidFill>
              <w14:schemeClr w14:val="tx1"/>
            </w14:solidFill>
          </w14:textFill>
        </w:rPr>
        <w:t>询价采购文件</w:t>
      </w:r>
    </w:p>
    <w:p w14:paraId="0A52EE15">
      <w:pPr>
        <w:pStyle w:val="28"/>
        <w:widowControl/>
        <w:tabs>
          <w:tab w:val="center" w:pos="4649"/>
          <w:tab w:val="right" w:pos="9299"/>
        </w:tabs>
        <w:adjustRightInd w:val="0"/>
        <w:spacing w:after="200" w:line="360" w:lineRule="auto"/>
        <w:jc w:val="center"/>
        <w:rPr>
          <w:rFonts w:hint="default" w:hAnsi="宋体" w:eastAsia="宋体"/>
          <w:b/>
          <w:color w:val="FF0000"/>
          <w:sz w:val="44"/>
          <w:szCs w:val="44"/>
          <w:lang w:val="en-US" w:eastAsia="zh-CN"/>
        </w:rPr>
      </w:pPr>
      <w:r>
        <w:rPr>
          <w:rFonts w:hint="eastAsia" w:hAnsi="宋体"/>
          <w:b/>
          <w:color w:val="FF0000"/>
          <w:sz w:val="44"/>
          <w:szCs w:val="44"/>
          <w:lang w:val="en-US" w:eastAsia="zh-CN"/>
        </w:rPr>
        <w:t>最低评审价格法</w:t>
      </w:r>
    </w:p>
    <w:p w14:paraId="2A845720">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320F22A5">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09B0DA61">
      <w:pPr>
        <w:pStyle w:val="28"/>
        <w:widowControl/>
        <w:tabs>
          <w:tab w:val="center" w:pos="4649"/>
          <w:tab w:val="right" w:pos="9299"/>
        </w:tabs>
        <w:adjustRightInd w:val="0"/>
        <w:spacing w:after="200" w:line="360" w:lineRule="auto"/>
        <w:ind w:firstLine="2974" w:firstLineChars="676"/>
        <w:jc w:val="left"/>
        <w:rPr>
          <w:rFonts w:hint="eastAsia" w:ascii="黑体" w:hAnsi="宋体" w:eastAsia="黑体"/>
          <w:color w:val="000000" w:themeColor="text1"/>
          <w:kern w:val="0"/>
          <w:sz w:val="44"/>
          <w:szCs w:val="44"/>
          <w14:textFill>
            <w14:solidFill>
              <w14:schemeClr w14:val="tx1"/>
            </w14:solidFill>
          </w14:textFill>
        </w:rPr>
      </w:pPr>
    </w:p>
    <w:p w14:paraId="60B664D2">
      <w:pPr>
        <w:pStyle w:val="28"/>
        <w:widowControl/>
        <w:tabs>
          <w:tab w:val="center" w:pos="4649"/>
          <w:tab w:val="right" w:pos="9299"/>
        </w:tabs>
        <w:adjustRightInd w:val="0"/>
        <w:spacing w:after="200" w:line="360" w:lineRule="auto"/>
        <w:jc w:val="left"/>
        <w:rPr>
          <w:rFonts w:hint="eastAsia" w:ascii="黑体" w:hAnsi="宋体" w:eastAsia="黑体"/>
          <w:kern w:val="0"/>
          <w:sz w:val="44"/>
          <w:szCs w:val="44"/>
          <w:lang w:eastAsia="zh-CN"/>
        </w:rPr>
      </w:pPr>
      <w:r>
        <w:rPr>
          <w:rFonts w:hint="eastAsia" w:ascii="黑体" w:hAnsi="宋体" w:eastAsia="黑体"/>
          <w:color w:val="000000" w:themeColor="text1"/>
          <w:kern w:val="0"/>
          <w:sz w:val="44"/>
          <w:szCs w:val="44"/>
          <w14:textFill>
            <w14:solidFill>
              <w14:schemeClr w14:val="tx1"/>
            </w14:solidFill>
          </w14:textFill>
        </w:rPr>
        <w:t>采购人：</w:t>
      </w:r>
      <w:r>
        <w:rPr>
          <w:rFonts w:hint="eastAsia" w:ascii="黑体" w:hAnsi="宋体" w:eastAsia="黑体"/>
          <w:kern w:val="0"/>
          <w:sz w:val="44"/>
          <w:szCs w:val="44"/>
          <w:lang w:eastAsia="zh-CN"/>
        </w:rPr>
        <w:t>内蒙古青城乳业和牛羊肉交易中心</w:t>
      </w:r>
    </w:p>
    <w:p w14:paraId="0F2AEF23">
      <w:pPr>
        <w:pStyle w:val="28"/>
        <w:widowControl/>
        <w:tabs>
          <w:tab w:val="center" w:pos="4649"/>
          <w:tab w:val="right" w:pos="9299"/>
        </w:tabs>
        <w:adjustRightInd w:val="0"/>
        <w:spacing w:after="200" w:line="360" w:lineRule="auto"/>
        <w:jc w:val="both"/>
        <w:rPr>
          <w:rFonts w:hint="eastAsia" w:ascii="黑体" w:hAnsi="宋体" w:eastAsia="黑体"/>
          <w:kern w:val="0"/>
          <w:sz w:val="44"/>
          <w:szCs w:val="44"/>
          <w:lang w:val="en-US" w:eastAsia="zh-CN"/>
        </w:rPr>
      </w:pPr>
      <w:r>
        <w:rPr>
          <w:rFonts w:hint="eastAsia" w:ascii="黑体" w:hAnsi="宋体" w:eastAsia="黑体"/>
          <w:kern w:val="0"/>
          <w:sz w:val="44"/>
          <w:szCs w:val="44"/>
        </w:rPr>
        <w:t>采购机构：</w:t>
      </w:r>
      <w:r>
        <w:rPr>
          <w:rFonts w:hint="eastAsia" w:ascii="黑体" w:hAnsi="宋体" w:eastAsia="黑体"/>
          <w:kern w:val="0"/>
          <w:sz w:val="44"/>
          <w:szCs w:val="44"/>
          <w:lang w:val="en-US" w:eastAsia="zh-CN"/>
        </w:rPr>
        <w:t>内蒙古青城乳业和牛羊肉交易中心</w:t>
      </w:r>
    </w:p>
    <w:p w14:paraId="7966DB59">
      <w:pPr>
        <w:pStyle w:val="28"/>
        <w:widowControl/>
        <w:tabs>
          <w:tab w:val="center" w:pos="4649"/>
          <w:tab w:val="right" w:pos="9299"/>
        </w:tabs>
        <w:adjustRightInd w:val="0"/>
        <w:spacing w:after="200" w:line="360" w:lineRule="auto"/>
        <w:jc w:val="center"/>
        <w:rPr>
          <w:rFonts w:hint="eastAsia" w:ascii="黑体" w:hAnsi="宋体" w:eastAsia="黑体"/>
          <w:kern w:val="0"/>
          <w:sz w:val="44"/>
          <w:szCs w:val="44"/>
        </w:rPr>
        <w:sectPr>
          <w:footerReference r:id="rId6" w:type="first"/>
          <w:footerReference r:id="rId5" w:type="default"/>
          <w:pgSz w:w="11907" w:h="16839"/>
          <w:pgMar w:top="1418" w:right="1418" w:bottom="1418" w:left="1418" w:header="765" w:footer="482" w:gutter="0"/>
          <w:pgNumType w:start="1"/>
          <w:cols w:space="708" w:num="1"/>
          <w:titlePg/>
          <w:docGrid w:linePitch="360" w:charSpace="0"/>
        </w:sectPr>
      </w:pPr>
      <w:r>
        <w:rPr>
          <w:rFonts w:hint="eastAsia" w:ascii="黑体" w:hAnsi="宋体" w:eastAsia="黑体"/>
          <w:kern w:val="0"/>
          <w:sz w:val="44"/>
          <w:szCs w:val="44"/>
          <w:lang w:val="en-US" w:eastAsia="zh-CN"/>
        </w:rPr>
        <w:t>2026</w:t>
      </w:r>
      <w:r>
        <w:rPr>
          <w:rFonts w:hint="eastAsia" w:ascii="黑体" w:hAnsi="宋体" w:eastAsia="黑体"/>
          <w:kern w:val="0"/>
          <w:sz w:val="44"/>
          <w:szCs w:val="44"/>
        </w:rPr>
        <w:t>年</w:t>
      </w:r>
      <w:r>
        <w:rPr>
          <w:rFonts w:hint="eastAsia" w:ascii="黑体" w:hAnsi="宋体" w:eastAsia="黑体"/>
          <w:kern w:val="0"/>
          <w:sz w:val="44"/>
          <w:szCs w:val="44"/>
          <w:lang w:val="en-US" w:eastAsia="zh-CN"/>
        </w:rPr>
        <w:t>08</w:t>
      </w:r>
      <w:r>
        <w:rPr>
          <w:rFonts w:hint="eastAsia" w:ascii="黑体" w:hAnsi="宋体" w:eastAsia="黑体"/>
          <w:kern w:val="0"/>
          <w:sz w:val="44"/>
          <w:szCs w:val="44"/>
        </w:rPr>
        <w:t>月</w:t>
      </w:r>
    </w:p>
    <w:p w14:paraId="61B80268">
      <w:pPr>
        <w:pStyle w:val="28"/>
        <w:widowControl/>
        <w:tabs>
          <w:tab w:val="center" w:pos="4649"/>
          <w:tab w:val="right" w:pos="9299"/>
        </w:tabs>
        <w:adjustRightInd w:val="0"/>
        <w:spacing w:after="200" w:line="360" w:lineRule="auto"/>
        <w:ind w:firstLine="3740" w:firstLineChars="850"/>
        <w:rPr>
          <w:rFonts w:hint="eastAsia" w:ascii="黑体" w:hAnsi="宋体" w:eastAsia="黑体"/>
          <w:color w:val="000000" w:themeColor="text1"/>
          <w:kern w:val="0"/>
          <w:sz w:val="44"/>
          <w:szCs w:val="44"/>
          <w14:textFill>
            <w14:solidFill>
              <w14:schemeClr w14:val="tx1"/>
            </w14:solidFill>
          </w14:textFill>
        </w:rPr>
      </w:pPr>
      <w:r>
        <w:rPr>
          <w:rFonts w:hint="eastAsia" w:ascii="黑体" w:hAnsi="宋体" w:eastAsia="黑体"/>
          <w:color w:val="000000" w:themeColor="text1"/>
          <w:kern w:val="0"/>
          <w:sz w:val="44"/>
          <w:szCs w:val="44"/>
          <w14:textFill>
            <w14:solidFill>
              <w14:schemeClr w14:val="tx1"/>
            </w14:solidFill>
          </w14:textFill>
        </w:rPr>
        <w:t>目录</w:t>
      </w:r>
    </w:p>
    <w:p w14:paraId="6B414664">
      <w:pPr>
        <w:pStyle w:val="28"/>
        <w:widowControl/>
        <w:tabs>
          <w:tab w:val="center" w:pos="4649"/>
          <w:tab w:val="right" w:pos="9299"/>
        </w:tabs>
        <w:adjustRightInd w:val="0"/>
        <w:spacing w:before="0" w:after="0" w:line="360" w:lineRule="auto"/>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第一卷 商务部分</w:t>
      </w:r>
    </w:p>
    <w:p w14:paraId="423658C6">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第一章 报价人须知</w:t>
      </w:r>
    </w:p>
    <w:p w14:paraId="39F873E1">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须知前附表</w:t>
      </w:r>
    </w:p>
    <w:p w14:paraId="0B825150">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1.总则</w:t>
      </w:r>
    </w:p>
    <w:p w14:paraId="217623FC">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2.询价文件</w:t>
      </w:r>
    </w:p>
    <w:p w14:paraId="4C4F3DAF">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3.报价文件</w:t>
      </w:r>
    </w:p>
    <w:p w14:paraId="16FE32D3">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4.评审说明</w:t>
      </w:r>
    </w:p>
    <w:p w14:paraId="30F090BC">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5.廉洁警示</w:t>
      </w:r>
    </w:p>
    <w:p w14:paraId="17ED4C19">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       6.合同签订</w:t>
      </w:r>
    </w:p>
    <w:p w14:paraId="058D1FB8">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 xml:space="preserve">第二章 报价格式 </w:t>
      </w:r>
    </w:p>
    <w:p w14:paraId="12069802">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第三章 附录</w:t>
      </w:r>
    </w:p>
    <w:p w14:paraId="2202471D">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第四章 合同范本</w:t>
      </w:r>
    </w:p>
    <w:p w14:paraId="4C6EFAD4">
      <w:pPr>
        <w:pStyle w:val="28"/>
        <w:widowControl/>
        <w:tabs>
          <w:tab w:val="center" w:pos="4649"/>
          <w:tab w:val="right" w:pos="9299"/>
        </w:tabs>
        <w:adjustRightInd w:val="0"/>
        <w:spacing w:before="0" w:after="0" w:line="360" w:lineRule="auto"/>
        <w:ind w:firstLine="991" w:firstLineChars="354"/>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第五章 报价文件模板</w:t>
      </w:r>
    </w:p>
    <w:p w14:paraId="589961F1">
      <w:pPr>
        <w:pStyle w:val="28"/>
        <w:widowControl/>
        <w:tabs>
          <w:tab w:val="center" w:pos="4649"/>
          <w:tab w:val="right" w:pos="9299"/>
        </w:tabs>
        <w:adjustRightInd w:val="0"/>
        <w:spacing w:before="0" w:after="0" w:line="360" w:lineRule="auto"/>
        <w:jc w:val="left"/>
        <w:rPr>
          <w:rFonts w:hint="eastAsia" w:ascii="黑体" w:hAnsi="宋体" w:eastAsia="黑体"/>
          <w:color w:val="000000" w:themeColor="text1"/>
          <w:kern w:val="0"/>
          <w:sz w:val="28"/>
          <w:szCs w:val="28"/>
          <w14:textFill>
            <w14:solidFill>
              <w14:schemeClr w14:val="tx1"/>
            </w14:solidFill>
          </w14:textFill>
        </w:rPr>
      </w:pPr>
      <w:r>
        <w:rPr>
          <w:rFonts w:hint="eastAsia" w:ascii="黑体" w:hAnsi="宋体" w:eastAsia="黑体"/>
          <w:color w:val="000000" w:themeColor="text1"/>
          <w:kern w:val="0"/>
          <w:sz w:val="28"/>
          <w:szCs w:val="28"/>
          <w14:textFill>
            <w14:solidFill>
              <w14:schemeClr w14:val="tx1"/>
            </w14:solidFill>
          </w14:textFill>
        </w:rPr>
        <w:t>第二卷 技术部分</w:t>
      </w:r>
    </w:p>
    <w:p w14:paraId="0F4F4CF8">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70488794">
      <w:pPr>
        <w:pStyle w:val="28"/>
        <w:widowControl/>
        <w:tabs>
          <w:tab w:val="center" w:pos="4649"/>
          <w:tab w:val="right" w:pos="9299"/>
        </w:tabs>
        <w:adjustRightInd w:val="0"/>
        <w:spacing w:after="200" w:line="360" w:lineRule="auto"/>
        <w:jc w:val="center"/>
        <w:rPr>
          <w:rFonts w:hint="eastAsia" w:ascii="黑体" w:hAnsi="宋体" w:eastAsia="黑体"/>
          <w:color w:val="000000" w:themeColor="text1"/>
          <w:kern w:val="0"/>
          <w:sz w:val="44"/>
          <w:szCs w:val="44"/>
          <w14:textFill>
            <w14:solidFill>
              <w14:schemeClr w14:val="tx1"/>
            </w14:solidFill>
          </w14:textFill>
        </w:rPr>
      </w:pPr>
    </w:p>
    <w:p w14:paraId="33C5581B">
      <w:pPr>
        <w:spacing w:line="360" w:lineRule="auto"/>
        <w:ind w:left="0" w:leftChars="0" w:firstLine="0" w:firstLineChars="0"/>
        <w:jc w:val="both"/>
        <w:outlineLvl w:val="0"/>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pgNumType w:start="1"/>
          <w:cols w:space="708" w:num="1"/>
          <w:titlePg/>
          <w:docGrid w:linePitch="360" w:charSpace="0"/>
        </w:sectPr>
      </w:pPr>
      <w:bookmarkStart w:id="0" w:name="_Toc323219023"/>
    </w:p>
    <w:p w14:paraId="22F6E8E1">
      <w:pPr>
        <w:pStyle w:val="2"/>
        <w:numPr>
          <w:ilvl w:val="0"/>
          <w:numId w:val="1"/>
        </w:numPr>
        <w:bidi w:val="0"/>
        <w:rPr>
          <w:lang w:val="zh-CN"/>
        </w:rPr>
      </w:pPr>
      <w:bookmarkStart w:id="1" w:name="_Toc6933768"/>
      <w:bookmarkStart w:id="2" w:name="_Toc7350273"/>
      <w:bookmarkStart w:id="3" w:name="_Toc6830605"/>
      <w:bookmarkStart w:id="4" w:name="_Toc6839421"/>
      <w:r>
        <w:rPr>
          <w:rFonts w:hint="eastAsia"/>
        </w:rPr>
        <w:t>商务部分</w:t>
      </w:r>
      <w:bookmarkEnd w:id="1"/>
      <w:bookmarkEnd w:id="2"/>
      <w:bookmarkEnd w:id="3"/>
      <w:bookmarkEnd w:id="4"/>
    </w:p>
    <w:p w14:paraId="7550BBC1">
      <w:pPr>
        <w:pStyle w:val="3"/>
        <w:numPr>
          <w:ilvl w:val="1"/>
          <w:numId w:val="2"/>
        </w:numPr>
        <w:bidi w:val="0"/>
        <w:rPr>
          <w:lang w:val="zh-CN"/>
        </w:rPr>
      </w:pPr>
      <w:bookmarkStart w:id="5" w:name="_Toc7350274"/>
      <w:bookmarkStart w:id="6" w:name="_Toc6933769"/>
      <w:bookmarkStart w:id="7" w:name="_Toc6830606"/>
      <w:bookmarkStart w:id="8" w:name="_Toc6839422"/>
      <w:r>
        <w:rPr>
          <w:rFonts w:hint="eastAsia"/>
        </w:rPr>
        <w:t>报价人须知</w:t>
      </w:r>
      <w:bookmarkEnd w:id="5"/>
      <w:bookmarkEnd w:id="6"/>
      <w:bookmarkEnd w:id="7"/>
      <w:bookmarkEnd w:id="8"/>
    </w:p>
    <w:p w14:paraId="353FC7E9">
      <w:pPr>
        <w:numPr>
          <w:ilvl w:val="0"/>
          <w:numId w:val="3"/>
        </w:numPr>
        <w:bidi w:val="0"/>
        <w:rPr>
          <w:rFonts w:hint="eastAsia"/>
        </w:rPr>
      </w:pPr>
      <w:r>
        <w:rPr>
          <w:rFonts w:hint="eastAsia"/>
        </w:rPr>
        <w:t>内蒙古青城乳业和牛羊肉交易中心</w:t>
      </w:r>
      <w:r>
        <w:rPr>
          <w:rFonts w:hint="eastAsia"/>
          <w:lang w:val="en-US" w:eastAsia="zh-CN"/>
        </w:rPr>
        <w:t>官网</w:t>
      </w:r>
      <w:r>
        <w:rPr>
          <w:rFonts w:hint="eastAsia"/>
        </w:rPr>
        <w:t>网址：www.</w:t>
      </w:r>
      <w:r>
        <w:rPr>
          <w:rFonts w:hint="eastAsia"/>
          <w:lang w:val="en-US" w:eastAsia="zh-CN"/>
        </w:rPr>
        <w:t>ihdt.com.cn</w:t>
      </w:r>
      <w:r>
        <w:rPr>
          <w:rFonts w:hint="eastAsia"/>
        </w:rPr>
        <w:t>是询价采购文件的</w:t>
      </w:r>
      <w:r>
        <w:rPr>
          <w:rFonts w:hint="eastAsia"/>
          <w:lang w:val="en-US" w:eastAsia="zh-CN"/>
        </w:rPr>
        <w:t>唯一</w:t>
      </w:r>
      <w:r>
        <w:rPr>
          <w:rFonts w:hint="eastAsia"/>
        </w:rPr>
        <w:t>发布平台，报价人须通过</w:t>
      </w:r>
      <w:r>
        <w:rPr>
          <w:rFonts w:hint="eastAsia"/>
          <w:lang w:val="en-US" w:eastAsia="zh-CN"/>
        </w:rPr>
        <w:t>招标公告预留联络信息完成项目招标活动有关的文件获取、澄清等</w:t>
      </w:r>
      <w:r>
        <w:rPr>
          <w:rFonts w:hint="eastAsia"/>
        </w:rPr>
        <w:t>。</w:t>
      </w:r>
      <w:bookmarkStart w:id="9" w:name="_Toc247085711"/>
      <w:bookmarkStart w:id="10" w:name="_Toc152045553"/>
      <w:bookmarkStart w:id="11" w:name="_Toc152042329"/>
      <w:bookmarkStart w:id="12" w:name="_Toc246996197"/>
      <w:bookmarkStart w:id="13" w:name="_Toc246996940"/>
      <w:bookmarkStart w:id="14" w:name="_Toc144974521"/>
      <w:bookmarkStart w:id="15" w:name="_Toc179632571"/>
    </w:p>
    <w:bookmarkEnd w:id="9"/>
    <w:bookmarkEnd w:id="10"/>
    <w:bookmarkEnd w:id="11"/>
    <w:bookmarkEnd w:id="12"/>
    <w:bookmarkEnd w:id="13"/>
    <w:bookmarkEnd w:id="14"/>
    <w:bookmarkEnd w:id="15"/>
    <w:p w14:paraId="6AE50597">
      <w:pPr>
        <w:numPr>
          <w:ilvl w:val="0"/>
          <w:numId w:val="3"/>
        </w:numPr>
        <w:bidi w:val="0"/>
        <w:rPr>
          <w:rFonts w:hint="eastAsia"/>
        </w:rPr>
      </w:pPr>
      <w:r>
        <w:rPr>
          <w:rFonts w:hint="eastAsia"/>
        </w:rPr>
        <w:t>报价文件编制要求详见商务部分第一章第3条。报价人须在规定</w:t>
      </w:r>
      <w:r>
        <w:rPr>
          <w:rFonts w:hint="eastAsia"/>
          <w:lang w:val="en-US" w:eastAsia="zh-CN"/>
        </w:rPr>
        <w:t>时间内</w:t>
      </w:r>
      <w:r>
        <w:rPr>
          <w:rFonts w:hint="eastAsia"/>
        </w:rPr>
        <w:t>的递交</w:t>
      </w:r>
      <w:r>
        <w:rPr>
          <w:rFonts w:hint="eastAsia"/>
          <w:lang w:val="en-US" w:eastAsia="zh-CN"/>
        </w:rPr>
        <w:t>报价材料</w:t>
      </w:r>
      <w:r>
        <w:rPr>
          <w:rFonts w:hint="eastAsia"/>
        </w:rPr>
        <w:t>。</w:t>
      </w:r>
    </w:p>
    <w:p w14:paraId="7D51A7D0">
      <w:pPr>
        <w:numPr>
          <w:ilvl w:val="0"/>
          <w:numId w:val="3"/>
        </w:numPr>
        <w:bidi w:val="0"/>
        <w:rPr>
          <w:rFonts w:hint="eastAsia"/>
        </w:rPr>
      </w:pPr>
      <w:r>
        <w:rPr>
          <w:rFonts w:hint="eastAsia"/>
        </w:rPr>
        <w:t>报价文件命名统一采用如“##公司（报价人）+##项目商务文件”、“##公司（报价人）+##项目技术文件”方式。</w:t>
      </w:r>
    </w:p>
    <w:p w14:paraId="409FCE13">
      <w:pPr>
        <w:numPr>
          <w:ilvl w:val="0"/>
          <w:numId w:val="3"/>
        </w:numPr>
        <w:bidi w:val="0"/>
        <w:rPr>
          <w:rFonts w:hint="eastAsia"/>
        </w:rPr>
      </w:pPr>
      <w:r>
        <w:t>报价文件的授权书</w:t>
      </w:r>
      <w:r>
        <w:rPr>
          <w:rFonts w:hint="eastAsia"/>
        </w:rPr>
        <w:t>或</w:t>
      </w:r>
      <w:r>
        <w:t>承诺函未加盖公司公章</w:t>
      </w:r>
      <w:r>
        <w:rPr>
          <w:rFonts w:hint="eastAsia"/>
        </w:rPr>
        <w:t>为无效报价文件。</w:t>
      </w:r>
    </w:p>
    <w:p w14:paraId="2D39C552">
      <w:pPr>
        <w:numPr>
          <w:ilvl w:val="0"/>
          <w:numId w:val="3"/>
        </w:numPr>
        <w:bidi w:val="0"/>
        <w:rPr>
          <w:rFonts w:hint="eastAsia"/>
        </w:rPr>
      </w:pPr>
      <w:r>
        <w:rPr>
          <w:rFonts w:hint="eastAsia"/>
        </w:rPr>
        <w:t>报价人违反法律法规、不履行法定义务、弄虚作假等失信行为，将严格按《国家能源投资集团有限责任公司供应商失信行为管理实施细则》进行处置。</w:t>
      </w:r>
    </w:p>
    <w:p w14:paraId="2EB57964">
      <w:pPr>
        <w:rPr>
          <w:rFonts w:hint="eastAsia" w:ascii="黑体" w:hAnsi="黑体" w:eastAsia="黑体" w:cs="宋体"/>
          <w:color w:val="000000" w:themeColor="text1"/>
          <w:kern w:val="0"/>
          <w:sz w:val="28"/>
          <w:szCs w:val="28"/>
          <w:lang w:val="zh-CN"/>
          <w14:textFill>
            <w14:solidFill>
              <w14:schemeClr w14:val="tx1"/>
            </w14:solidFill>
          </w14:textFill>
        </w:rPr>
      </w:pPr>
      <w:bookmarkStart w:id="16" w:name="_Toc6830607"/>
      <w:bookmarkStart w:id="17" w:name="_Toc7350275"/>
      <w:bookmarkStart w:id="18" w:name="_Toc6839423"/>
      <w:bookmarkStart w:id="19" w:name="_Toc6933770"/>
      <w:r>
        <w:rPr>
          <w:rFonts w:hint="eastAsia" w:ascii="黑体" w:hAnsi="黑体" w:eastAsia="黑体" w:cs="宋体"/>
          <w:color w:val="000000" w:themeColor="text1"/>
          <w:kern w:val="0"/>
          <w:sz w:val="28"/>
          <w:szCs w:val="28"/>
          <w:lang w:val="zh-CN"/>
          <w14:textFill>
            <w14:solidFill>
              <w14:schemeClr w14:val="tx1"/>
            </w14:solidFill>
          </w14:textFill>
        </w:rPr>
        <w:br w:type="page"/>
      </w:r>
    </w:p>
    <w:p w14:paraId="20C17261">
      <w:pPr>
        <w:spacing w:line="360" w:lineRule="auto"/>
        <w:jc w:val="center"/>
        <w:outlineLvl w:val="2"/>
        <w:rPr>
          <w:rFonts w:hint="eastAsia" w:ascii="黑体" w:hAnsi="黑体" w:eastAsia="黑体" w:cs="宋体"/>
          <w:color w:val="000000" w:themeColor="text1"/>
          <w:kern w:val="0"/>
          <w:sz w:val="28"/>
          <w:szCs w:val="28"/>
          <w:lang w:val="zh-CN"/>
          <w14:textFill>
            <w14:solidFill>
              <w14:schemeClr w14:val="tx1"/>
            </w14:solidFill>
          </w14:textFill>
        </w:rPr>
      </w:pPr>
      <w:r>
        <w:rPr>
          <w:rFonts w:hint="eastAsia" w:ascii="黑体" w:hAnsi="黑体" w:eastAsia="黑体" w:cs="宋体"/>
          <w:color w:val="000000" w:themeColor="text1"/>
          <w:kern w:val="0"/>
          <w:sz w:val="28"/>
          <w:szCs w:val="28"/>
          <w:lang w:val="zh-CN"/>
          <w14:textFill>
            <w14:solidFill>
              <w14:schemeClr w14:val="tx1"/>
            </w14:solidFill>
          </w14:textFill>
        </w:rPr>
        <w:t>须知前附表</w:t>
      </w:r>
      <w:bookmarkEnd w:id="16"/>
      <w:bookmarkEnd w:id="17"/>
      <w:bookmarkEnd w:id="18"/>
      <w:bookmarkEnd w:id="19"/>
    </w:p>
    <w:tbl>
      <w:tblPr>
        <w:tblStyle w:val="17"/>
        <w:tblW w:w="9291" w:type="dxa"/>
        <w:tblInd w:w="0" w:type="dxa"/>
        <w:tblLayout w:type="fixed"/>
        <w:tblCellMar>
          <w:top w:w="0" w:type="dxa"/>
          <w:left w:w="108" w:type="dxa"/>
          <w:bottom w:w="0" w:type="dxa"/>
          <w:right w:w="108" w:type="dxa"/>
        </w:tblCellMar>
      </w:tblPr>
      <w:tblGrid>
        <w:gridCol w:w="814"/>
        <w:gridCol w:w="1700"/>
        <w:gridCol w:w="1400"/>
        <w:gridCol w:w="5377"/>
      </w:tblGrid>
      <w:tr w14:paraId="1805E4FE">
        <w:tblPrEx>
          <w:tblCellMar>
            <w:top w:w="0" w:type="dxa"/>
            <w:left w:w="108" w:type="dxa"/>
            <w:bottom w:w="0" w:type="dxa"/>
            <w:right w:w="108" w:type="dxa"/>
          </w:tblCellMar>
        </w:tblPrEx>
        <w:trPr>
          <w:trHeight w:val="567" w:hRule="atLeast"/>
          <w:tblHeader/>
        </w:trPr>
        <w:tc>
          <w:tcPr>
            <w:tcW w:w="814" w:type="dxa"/>
            <w:tcBorders>
              <w:top w:val="single" w:color="auto" w:sz="4" w:space="0"/>
              <w:left w:val="single" w:color="auto" w:sz="4" w:space="0"/>
              <w:bottom w:val="single" w:color="auto" w:sz="4" w:space="0"/>
              <w:right w:val="single" w:color="auto" w:sz="4" w:space="0"/>
            </w:tcBorders>
            <w:vAlign w:val="center"/>
          </w:tcPr>
          <w:p w14:paraId="384DAC8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bookmarkStart w:id="20" w:name="_Toc6933771"/>
            <w:bookmarkStart w:id="21" w:name="_Toc7350276"/>
            <w:bookmarkStart w:id="22" w:name="_Toc6839424"/>
            <w:bookmarkStart w:id="23" w:name="_Toc6830608"/>
            <w:bookmarkStart w:id="24" w:name="_Toc451013268"/>
            <w:bookmarkStart w:id="25" w:name="_Toc452121909"/>
            <w:bookmarkStart w:id="26" w:name="_Toc451200046"/>
            <w:r>
              <w:rPr>
                <w:rFonts w:hint="eastAsia"/>
              </w:rPr>
              <w:t>序号</w:t>
            </w:r>
          </w:p>
        </w:tc>
        <w:tc>
          <w:tcPr>
            <w:tcW w:w="1700" w:type="dxa"/>
            <w:tcBorders>
              <w:top w:val="single" w:color="auto" w:sz="4" w:space="0"/>
              <w:left w:val="nil"/>
              <w:bottom w:val="single" w:color="auto" w:sz="4" w:space="0"/>
              <w:right w:val="single" w:color="auto" w:sz="4" w:space="0"/>
            </w:tcBorders>
            <w:vAlign w:val="center"/>
          </w:tcPr>
          <w:p w14:paraId="16E1C21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项目</w:t>
            </w:r>
            <w:r>
              <w:rPr>
                <w:rFonts w:hint="eastAsia"/>
              </w:rPr>
              <w:t>名称</w:t>
            </w:r>
          </w:p>
        </w:tc>
        <w:tc>
          <w:tcPr>
            <w:tcW w:w="6777" w:type="dxa"/>
            <w:gridSpan w:val="2"/>
            <w:tcBorders>
              <w:top w:val="single" w:color="auto" w:sz="4" w:space="0"/>
              <w:left w:val="nil"/>
              <w:bottom w:val="single" w:color="auto" w:sz="4" w:space="0"/>
              <w:right w:val="single" w:color="auto" w:sz="4" w:space="0"/>
            </w:tcBorders>
            <w:vAlign w:val="center"/>
          </w:tcPr>
          <w:p w14:paraId="6DDED107">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粮食串换平台开发服务项目</w:t>
            </w:r>
          </w:p>
        </w:tc>
      </w:tr>
      <w:tr w14:paraId="5F35DFA1">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352EAA0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w:t>
            </w:r>
          </w:p>
        </w:tc>
        <w:tc>
          <w:tcPr>
            <w:tcW w:w="1700" w:type="dxa"/>
            <w:tcBorders>
              <w:top w:val="single" w:color="auto" w:sz="4" w:space="0"/>
              <w:left w:val="nil"/>
              <w:bottom w:val="single" w:color="auto" w:sz="4" w:space="0"/>
              <w:right w:val="single" w:color="auto" w:sz="4" w:space="0"/>
            </w:tcBorders>
            <w:vAlign w:val="center"/>
          </w:tcPr>
          <w:p w14:paraId="5A3DD2DD">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采购人</w:t>
            </w:r>
          </w:p>
        </w:tc>
        <w:tc>
          <w:tcPr>
            <w:tcW w:w="6777" w:type="dxa"/>
            <w:gridSpan w:val="2"/>
            <w:tcBorders>
              <w:top w:val="nil"/>
              <w:left w:val="nil"/>
              <w:bottom w:val="single" w:color="auto" w:sz="4" w:space="0"/>
              <w:right w:val="single" w:color="auto" w:sz="4" w:space="0"/>
            </w:tcBorders>
            <w:vAlign w:val="center"/>
          </w:tcPr>
          <w:p w14:paraId="36E7370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eastAsia="zh-CN"/>
              </w:rPr>
              <w:t>内蒙古青城乳业和牛羊肉交易中心</w:t>
            </w:r>
          </w:p>
        </w:tc>
      </w:tr>
      <w:tr w14:paraId="05278694">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30D0FB2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2</w:t>
            </w:r>
          </w:p>
        </w:tc>
        <w:tc>
          <w:tcPr>
            <w:tcW w:w="1700" w:type="dxa"/>
            <w:tcBorders>
              <w:top w:val="single" w:color="auto" w:sz="4" w:space="0"/>
              <w:left w:val="nil"/>
              <w:right w:val="single" w:color="auto" w:sz="4" w:space="0"/>
            </w:tcBorders>
            <w:vAlign w:val="center"/>
          </w:tcPr>
          <w:p w14:paraId="5C3FF4F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采购机构</w:t>
            </w:r>
          </w:p>
        </w:tc>
        <w:tc>
          <w:tcPr>
            <w:tcW w:w="6777" w:type="dxa"/>
            <w:gridSpan w:val="2"/>
            <w:tcBorders>
              <w:top w:val="nil"/>
              <w:left w:val="nil"/>
              <w:bottom w:val="single" w:color="auto" w:sz="4" w:space="0"/>
              <w:right w:val="single" w:color="auto" w:sz="4" w:space="0"/>
            </w:tcBorders>
            <w:vAlign w:val="center"/>
          </w:tcPr>
          <w:p w14:paraId="6CC2B85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eastAsia="zh-CN"/>
              </w:rPr>
              <w:t>内蒙古青城乳业和牛羊肉交易中心</w:t>
            </w:r>
          </w:p>
        </w:tc>
      </w:tr>
      <w:tr w14:paraId="2D8B6BA5">
        <w:tblPrEx>
          <w:tblCellMar>
            <w:top w:w="0" w:type="dxa"/>
            <w:left w:w="108" w:type="dxa"/>
            <w:bottom w:w="0" w:type="dxa"/>
            <w:right w:w="108" w:type="dxa"/>
          </w:tblCellMar>
        </w:tblPrEx>
        <w:trPr>
          <w:trHeight w:val="894" w:hRule="atLeast"/>
        </w:trPr>
        <w:tc>
          <w:tcPr>
            <w:tcW w:w="814" w:type="dxa"/>
            <w:tcBorders>
              <w:top w:val="single" w:color="auto" w:sz="4" w:space="0"/>
              <w:left w:val="single" w:color="auto" w:sz="4" w:space="0"/>
              <w:bottom w:val="single" w:color="auto" w:sz="4" w:space="0"/>
              <w:right w:val="single" w:color="auto" w:sz="4" w:space="0"/>
            </w:tcBorders>
            <w:vAlign w:val="center"/>
          </w:tcPr>
          <w:p w14:paraId="586297A2">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3</w:t>
            </w:r>
          </w:p>
        </w:tc>
        <w:tc>
          <w:tcPr>
            <w:tcW w:w="1700" w:type="dxa"/>
            <w:tcBorders>
              <w:top w:val="single" w:color="auto" w:sz="4" w:space="0"/>
              <w:left w:val="nil"/>
              <w:bottom w:val="single" w:color="auto" w:sz="4" w:space="0"/>
              <w:right w:val="single" w:color="auto" w:sz="4" w:space="0"/>
            </w:tcBorders>
            <w:vAlign w:val="center"/>
          </w:tcPr>
          <w:p w14:paraId="53081E4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采购范围</w:t>
            </w:r>
          </w:p>
        </w:tc>
        <w:tc>
          <w:tcPr>
            <w:tcW w:w="6777" w:type="dxa"/>
            <w:gridSpan w:val="2"/>
            <w:tcBorders>
              <w:top w:val="single" w:color="auto" w:sz="4" w:space="0"/>
              <w:left w:val="nil"/>
              <w:right w:val="single" w:color="auto" w:sz="4" w:space="0"/>
            </w:tcBorders>
            <w:vAlign w:val="center"/>
          </w:tcPr>
          <w:p w14:paraId="797F8E8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详见</w:t>
            </w:r>
            <w:r>
              <w:rPr>
                <w:rFonts w:hint="eastAsia"/>
                <w:lang w:val="en-US" w:eastAsia="zh-CN"/>
              </w:rPr>
              <w:t xml:space="preserve">第二卷 </w:t>
            </w:r>
            <w:r>
              <w:rPr>
                <w:rFonts w:hint="eastAsia"/>
              </w:rPr>
              <w:t>技术部分</w:t>
            </w:r>
          </w:p>
        </w:tc>
      </w:tr>
      <w:tr w14:paraId="276203FA">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8AD5F0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4</w:t>
            </w:r>
          </w:p>
        </w:tc>
        <w:tc>
          <w:tcPr>
            <w:tcW w:w="1700" w:type="dxa"/>
            <w:tcBorders>
              <w:top w:val="single" w:color="auto" w:sz="4" w:space="0"/>
              <w:left w:val="nil"/>
              <w:bottom w:val="single" w:color="auto" w:sz="4" w:space="0"/>
              <w:right w:val="single" w:color="auto" w:sz="4" w:space="0"/>
            </w:tcBorders>
            <w:vAlign w:val="center"/>
          </w:tcPr>
          <w:p w14:paraId="0E22567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服务期</w:t>
            </w:r>
          </w:p>
        </w:tc>
        <w:tc>
          <w:tcPr>
            <w:tcW w:w="6777" w:type="dxa"/>
            <w:gridSpan w:val="2"/>
            <w:tcBorders>
              <w:top w:val="single" w:color="auto" w:sz="4" w:space="0"/>
              <w:left w:val="nil"/>
              <w:right w:val="single" w:color="auto" w:sz="4" w:space="0"/>
            </w:tcBorders>
            <w:vAlign w:val="center"/>
          </w:tcPr>
          <w:p w14:paraId="565C20C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经需求部门出具正式的验收单后，服务期</w:t>
            </w:r>
            <w:r>
              <w:rPr>
                <w:rFonts w:hint="eastAsia"/>
                <w:lang w:val="en-US" w:eastAsia="zh-CN"/>
              </w:rPr>
              <w:t>两</w:t>
            </w:r>
            <w:r>
              <w:rPr>
                <w:rFonts w:hint="eastAsia"/>
              </w:rPr>
              <w:t>年</w:t>
            </w:r>
          </w:p>
        </w:tc>
      </w:tr>
      <w:tr w14:paraId="2A71BBEE">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763F629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5</w:t>
            </w:r>
          </w:p>
        </w:tc>
        <w:tc>
          <w:tcPr>
            <w:tcW w:w="1700" w:type="dxa"/>
            <w:tcBorders>
              <w:top w:val="single" w:color="auto" w:sz="4" w:space="0"/>
              <w:left w:val="nil"/>
              <w:bottom w:val="single" w:color="auto" w:sz="4" w:space="0"/>
              <w:right w:val="single" w:color="auto" w:sz="4" w:space="0"/>
            </w:tcBorders>
            <w:vAlign w:val="center"/>
          </w:tcPr>
          <w:p w14:paraId="78B518D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付款方式</w:t>
            </w:r>
          </w:p>
        </w:tc>
        <w:tc>
          <w:tcPr>
            <w:tcW w:w="6777" w:type="dxa"/>
            <w:gridSpan w:val="2"/>
            <w:tcBorders>
              <w:top w:val="single" w:color="auto" w:sz="4" w:space="0"/>
              <w:left w:val="nil"/>
              <w:right w:val="single" w:color="auto" w:sz="4" w:space="0"/>
            </w:tcBorders>
            <w:vAlign w:val="center"/>
          </w:tcPr>
          <w:p w14:paraId="5687952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电汇/承兑；合同签订后10日内支付合同金额的</w:t>
            </w:r>
            <w:r>
              <w:rPr>
                <w:rFonts w:hint="eastAsia"/>
                <w:lang w:val="en-US" w:eastAsia="zh-CN"/>
              </w:rPr>
              <w:t>6</w:t>
            </w:r>
            <w:r>
              <w:rPr>
                <w:rFonts w:hint="eastAsia"/>
              </w:rPr>
              <w:t>0%，项目验收合格后10日内支付合同额的</w:t>
            </w:r>
            <w:r>
              <w:rPr>
                <w:rFonts w:hint="eastAsia"/>
                <w:lang w:val="en-US" w:eastAsia="zh-CN"/>
              </w:rPr>
              <w:t>35</w:t>
            </w:r>
            <w:r>
              <w:rPr>
                <w:rFonts w:hint="eastAsia"/>
              </w:rPr>
              <w:t>%，项目验收合格后6个月支付合同的</w:t>
            </w:r>
            <w:r>
              <w:rPr>
                <w:rFonts w:hint="eastAsia"/>
                <w:lang w:val="en-US" w:eastAsia="zh-CN"/>
              </w:rPr>
              <w:t>5</w:t>
            </w:r>
            <w:r>
              <w:rPr>
                <w:rFonts w:hint="eastAsia"/>
              </w:rPr>
              <w:t>%。</w:t>
            </w:r>
          </w:p>
        </w:tc>
      </w:tr>
      <w:tr w14:paraId="120546AD">
        <w:tblPrEx>
          <w:tblCellMar>
            <w:top w:w="0" w:type="dxa"/>
            <w:left w:w="108" w:type="dxa"/>
            <w:bottom w:w="0" w:type="dxa"/>
            <w:right w:w="108" w:type="dxa"/>
          </w:tblCellMar>
        </w:tblPrEx>
        <w:trPr>
          <w:trHeight w:val="2110" w:hRule="atLeast"/>
        </w:trPr>
        <w:tc>
          <w:tcPr>
            <w:tcW w:w="814" w:type="dxa"/>
            <w:tcBorders>
              <w:top w:val="single" w:color="auto" w:sz="4" w:space="0"/>
              <w:left w:val="single" w:color="auto" w:sz="4" w:space="0"/>
              <w:bottom w:val="single" w:color="auto" w:sz="4" w:space="0"/>
              <w:right w:val="single" w:color="auto" w:sz="4" w:space="0"/>
            </w:tcBorders>
            <w:vAlign w:val="center"/>
          </w:tcPr>
          <w:p w14:paraId="68436D3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6</w:t>
            </w:r>
          </w:p>
        </w:tc>
        <w:tc>
          <w:tcPr>
            <w:tcW w:w="1700" w:type="dxa"/>
            <w:tcBorders>
              <w:top w:val="single" w:color="auto" w:sz="4" w:space="0"/>
              <w:left w:val="single" w:color="auto" w:sz="4" w:space="0"/>
              <w:bottom w:val="single" w:color="auto" w:sz="4" w:space="0"/>
              <w:right w:val="single" w:color="auto" w:sz="4" w:space="0"/>
            </w:tcBorders>
            <w:vAlign w:val="center"/>
          </w:tcPr>
          <w:p w14:paraId="7DC24D1E">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商务要求</w:t>
            </w:r>
          </w:p>
        </w:tc>
        <w:tc>
          <w:tcPr>
            <w:tcW w:w="1400" w:type="dxa"/>
            <w:tcBorders>
              <w:top w:val="single" w:color="auto" w:sz="4" w:space="0"/>
              <w:left w:val="nil"/>
              <w:right w:val="single" w:color="auto" w:sz="4" w:space="0"/>
            </w:tcBorders>
            <w:vAlign w:val="center"/>
          </w:tcPr>
          <w:p w14:paraId="22156C3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资质/资格条件</w:t>
            </w:r>
          </w:p>
        </w:tc>
        <w:tc>
          <w:tcPr>
            <w:tcW w:w="5377" w:type="dxa"/>
            <w:tcBorders>
              <w:top w:val="single" w:color="auto" w:sz="4" w:space="0"/>
              <w:left w:val="nil"/>
              <w:right w:val="single" w:color="auto" w:sz="4" w:space="0"/>
            </w:tcBorders>
            <w:vAlign w:val="center"/>
          </w:tcPr>
          <w:p w14:paraId="2AE443AE">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具备独立法人资格，提供有效的营业执照；无政府采购领域不良行为记录；具有独立承担民事责任的能力；具有良好的商业信誉和健全的财务会计制度；有依法缴纳税收和社会保障资金的良好记录；具有履行合同所必须的设备和专业技术能力；参加采购活动前3年内，在经营活动中没有重大违法记录；信用记录</w:t>
            </w:r>
          </w:p>
        </w:tc>
      </w:tr>
      <w:tr w14:paraId="129CB973">
        <w:tblPrEx>
          <w:tblCellMar>
            <w:top w:w="0" w:type="dxa"/>
            <w:left w:w="108" w:type="dxa"/>
            <w:bottom w:w="0" w:type="dxa"/>
            <w:right w:w="108" w:type="dxa"/>
          </w:tblCellMar>
        </w:tblPrEx>
        <w:trPr>
          <w:trHeight w:val="572" w:hRule="atLeast"/>
        </w:trPr>
        <w:tc>
          <w:tcPr>
            <w:tcW w:w="814" w:type="dxa"/>
            <w:tcBorders>
              <w:top w:val="single" w:color="auto" w:sz="4" w:space="0"/>
              <w:left w:val="single" w:color="auto" w:sz="4" w:space="0"/>
              <w:bottom w:val="single" w:color="auto" w:sz="4" w:space="0"/>
              <w:right w:val="single" w:color="auto" w:sz="4" w:space="0"/>
            </w:tcBorders>
            <w:vAlign w:val="center"/>
          </w:tcPr>
          <w:p w14:paraId="449623E0">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7</w:t>
            </w:r>
          </w:p>
        </w:tc>
        <w:tc>
          <w:tcPr>
            <w:tcW w:w="1700" w:type="dxa"/>
            <w:tcBorders>
              <w:top w:val="single" w:color="auto" w:sz="4" w:space="0"/>
              <w:left w:val="single" w:color="auto" w:sz="4" w:space="0"/>
              <w:bottom w:val="single" w:color="auto" w:sz="4" w:space="0"/>
              <w:right w:val="single" w:color="auto" w:sz="4" w:space="0"/>
            </w:tcBorders>
            <w:vAlign w:val="center"/>
          </w:tcPr>
          <w:p w14:paraId="4EEB1B1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评分办法</w:t>
            </w:r>
          </w:p>
        </w:tc>
        <w:tc>
          <w:tcPr>
            <w:tcW w:w="6777" w:type="dxa"/>
            <w:gridSpan w:val="2"/>
            <w:tcBorders>
              <w:top w:val="single" w:color="auto" w:sz="4" w:space="0"/>
              <w:left w:val="nil"/>
              <w:right w:val="single" w:color="auto" w:sz="4" w:space="0"/>
            </w:tcBorders>
            <w:vAlign w:val="center"/>
          </w:tcPr>
          <w:p w14:paraId="2C7B55F1">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最低评审价格法</w:t>
            </w:r>
          </w:p>
        </w:tc>
      </w:tr>
      <w:tr w14:paraId="5A75C0F1">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21831B6A">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8</w:t>
            </w:r>
          </w:p>
        </w:tc>
        <w:tc>
          <w:tcPr>
            <w:tcW w:w="1700" w:type="dxa"/>
            <w:tcBorders>
              <w:top w:val="single" w:color="auto" w:sz="4" w:space="0"/>
              <w:left w:val="nil"/>
              <w:bottom w:val="single" w:color="auto" w:sz="4" w:space="0"/>
              <w:right w:val="single" w:color="auto" w:sz="4" w:space="0"/>
            </w:tcBorders>
            <w:vAlign w:val="center"/>
          </w:tcPr>
          <w:p w14:paraId="3DBF728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发票类型</w:t>
            </w:r>
          </w:p>
        </w:tc>
        <w:tc>
          <w:tcPr>
            <w:tcW w:w="6777" w:type="dxa"/>
            <w:gridSpan w:val="2"/>
            <w:tcBorders>
              <w:top w:val="single" w:color="auto" w:sz="4" w:space="0"/>
              <w:left w:val="nil"/>
              <w:bottom w:val="single" w:color="auto" w:sz="4" w:space="0"/>
              <w:right w:val="single" w:color="auto" w:sz="4" w:space="0"/>
            </w:tcBorders>
            <w:vAlign w:val="center"/>
          </w:tcPr>
          <w:p w14:paraId="749A31C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增值税普通发票</w:t>
            </w:r>
          </w:p>
        </w:tc>
      </w:tr>
      <w:tr w14:paraId="08C6E10A">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7277C95F">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9</w:t>
            </w:r>
          </w:p>
        </w:tc>
        <w:tc>
          <w:tcPr>
            <w:tcW w:w="1700" w:type="dxa"/>
            <w:tcBorders>
              <w:top w:val="single" w:color="auto" w:sz="4" w:space="0"/>
              <w:left w:val="nil"/>
              <w:bottom w:val="single" w:color="auto" w:sz="4" w:space="0"/>
              <w:right w:val="single" w:color="auto" w:sz="4" w:space="0"/>
            </w:tcBorders>
            <w:vAlign w:val="center"/>
          </w:tcPr>
          <w:p w14:paraId="787529F5">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最高限价</w:t>
            </w:r>
          </w:p>
        </w:tc>
        <w:tc>
          <w:tcPr>
            <w:tcW w:w="6777" w:type="dxa"/>
            <w:gridSpan w:val="2"/>
            <w:tcBorders>
              <w:top w:val="single" w:color="auto" w:sz="4" w:space="0"/>
              <w:left w:val="nil"/>
              <w:bottom w:val="single" w:color="auto" w:sz="4" w:space="0"/>
              <w:right w:val="single" w:color="auto" w:sz="4" w:space="0"/>
            </w:tcBorders>
            <w:vAlign w:val="center"/>
          </w:tcPr>
          <w:p w14:paraId="41D7A44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20万</w:t>
            </w:r>
          </w:p>
        </w:tc>
      </w:tr>
      <w:tr w14:paraId="5B798F56">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0B3DF8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10</w:t>
            </w:r>
          </w:p>
        </w:tc>
        <w:tc>
          <w:tcPr>
            <w:tcW w:w="1700" w:type="dxa"/>
            <w:tcBorders>
              <w:top w:val="single" w:color="auto" w:sz="4" w:space="0"/>
              <w:left w:val="nil"/>
              <w:bottom w:val="single" w:color="auto" w:sz="4" w:space="0"/>
              <w:right w:val="single" w:color="auto" w:sz="4" w:space="0"/>
            </w:tcBorders>
            <w:vAlign w:val="center"/>
          </w:tcPr>
          <w:p w14:paraId="1F93F06D">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报价截止时间</w:t>
            </w:r>
          </w:p>
        </w:tc>
        <w:tc>
          <w:tcPr>
            <w:tcW w:w="6777" w:type="dxa"/>
            <w:gridSpan w:val="2"/>
            <w:tcBorders>
              <w:top w:val="single" w:color="auto" w:sz="4" w:space="0"/>
              <w:left w:val="nil"/>
              <w:bottom w:val="single" w:color="auto" w:sz="4" w:space="0"/>
              <w:right w:val="single" w:color="auto" w:sz="4" w:space="0"/>
            </w:tcBorders>
            <w:vAlign w:val="center"/>
          </w:tcPr>
          <w:p w14:paraId="097B550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详见</w:t>
            </w:r>
            <w:r>
              <w:rPr>
                <w:rFonts w:hint="eastAsia"/>
                <w:lang w:val="en-US" w:eastAsia="zh-CN"/>
              </w:rPr>
              <w:t>采购公告</w:t>
            </w:r>
            <w:r>
              <w:rPr>
                <w:rFonts w:hint="eastAsia"/>
              </w:rPr>
              <w:t>。</w:t>
            </w:r>
          </w:p>
        </w:tc>
      </w:tr>
      <w:tr w14:paraId="3D433BB3">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617CAD02">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11</w:t>
            </w:r>
          </w:p>
        </w:tc>
        <w:tc>
          <w:tcPr>
            <w:tcW w:w="1700" w:type="dxa"/>
            <w:tcBorders>
              <w:top w:val="single" w:color="auto" w:sz="4" w:space="0"/>
              <w:left w:val="nil"/>
              <w:bottom w:val="single" w:color="auto" w:sz="4" w:space="0"/>
              <w:right w:val="single" w:color="auto" w:sz="4" w:space="0"/>
            </w:tcBorders>
            <w:vAlign w:val="center"/>
          </w:tcPr>
          <w:p w14:paraId="07060C9B">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采购服务费</w:t>
            </w:r>
          </w:p>
        </w:tc>
        <w:tc>
          <w:tcPr>
            <w:tcW w:w="6777" w:type="dxa"/>
            <w:gridSpan w:val="2"/>
            <w:tcBorders>
              <w:top w:val="single" w:color="auto" w:sz="4" w:space="0"/>
              <w:left w:val="nil"/>
              <w:bottom w:val="single" w:color="auto" w:sz="4" w:space="0"/>
              <w:right w:val="single" w:color="auto" w:sz="4" w:space="0"/>
            </w:tcBorders>
            <w:vAlign w:val="center"/>
          </w:tcPr>
          <w:p w14:paraId="0E1E58D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lang w:val="en-US" w:eastAsia="zh-CN"/>
              </w:rPr>
              <w:t>不收取</w:t>
            </w:r>
          </w:p>
        </w:tc>
      </w:tr>
      <w:tr w14:paraId="357E6848">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575604B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12</w:t>
            </w:r>
          </w:p>
        </w:tc>
        <w:tc>
          <w:tcPr>
            <w:tcW w:w="1700" w:type="dxa"/>
            <w:tcBorders>
              <w:top w:val="single" w:color="auto" w:sz="4" w:space="0"/>
              <w:left w:val="nil"/>
              <w:bottom w:val="single" w:color="auto" w:sz="4" w:space="0"/>
              <w:right w:val="single" w:color="auto" w:sz="4" w:space="0"/>
            </w:tcBorders>
            <w:vAlign w:val="center"/>
          </w:tcPr>
          <w:p w14:paraId="19FFAD49">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报价有效期</w:t>
            </w:r>
          </w:p>
        </w:tc>
        <w:tc>
          <w:tcPr>
            <w:tcW w:w="6777" w:type="dxa"/>
            <w:gridSpan w:val="2"/>
            <w:tcBorders>
              <w:top w:val="single" w:color="auto" w:sz="4" w:space="0"/>
              <w:left w:val="nil"/>
              <w:bottom w:val="single" w:color="auto" w:sz="4" w:space="0"/>
              <w:right w:val="single" w:color="auto" w:sz="4" w:space="0"/>
            </w:tcBorders>
            <w:vAlign w:val="center"/>
          </w:tcPr>
          <w:p w14:paraId="00A783F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自报价截止时间起90天</w:t>
            </w:r>
          </w:p>
        </w:tc>
      </w:tr>
      <w:tr w14:paraId="61C388A6">
        <w:tblPrEx>
          <w:tblCellMar>
            <w:top w:w="0" w:type="dxa"/>
            <w:left w:w="108" w:type="dxa"/>
            <w:bottom w:w="0" w:type="dxa"/>
            <w:right w:w="108" w:type="dxa"/>
          </w:tblCellMar>
        </w:tblPrEx>
        <w:trPr>
          <w:trHeight w:val="567" w:hRule="atLeast"/>
        </w:trPr>
        <w:tc>
          <w:tcPr>
            <w:tcW w:w="814" w:type="dxa"/>
            <w:tcBorders>
              <w:top w:val="single" w:color="auto" w:sz="4" w:space="0"/>
              <w:left w:val="single" w:color="auto" w:sz="4" w:space="0"/>
              <w:bottom w:val="single" w:color="auto" w:sz="4" w:space="0"/>
              <w:right w:val="single" w:color="auto" w:sz="4" w:space="0"/>
            </w:tcBorders>
            <w:vAlign w:val="center"/>
          </w:tcPr>
          <w:p w14:paraId="4D736BEC">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13</w:t>
            </w:r>
          </w:p>
        </w:tc>
        <w:tc>
          <w:tcPr>
            <w:tcW w:w="1700" w:type="dxa"/>
            <w:tcBorders>
              <w:top w:val="single" w:color="auto" w:sz="4" w:space="0"/>
              <w:left w:val="nil"/>
              <w:bottom w:val="single" w:color="auto" w:sz="4" w:space="0"/>
              <w:right w:val="single" w:color="auto" w:sz="4" w:space="0"/>
            </w:tcBorders>
            <w:vAlign w:val="center"/>
          </w:tcPr>
          <w:p w14:paraId="600012E6">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其他要求</w:t>
            </w:r>
          </w:p>
        </w:tc>
        <w:tc>
          <w:tcPr>
            <w:tcW w:w="6777" w:type="dxa"/>
            <w:gridSpan w:val="2"/>
            <w:tcBorders>
              <w:top w:val="single" w:color="auto" w:sz="4" w:space="0"/>
              <w:left w:val="nil"/>
              <w:bottom w:val="single" w:color="auto" w:sz="4" w:space="0"/>
              <w:right w:val="single" w:color="auto" w:sz="4" w:space="0"/>
            </w:tcBorders>
            <w:vAlign w:val="center"/>
          </w:tcPr>
          <w:p w14:paraId="7DE1FD68">
            <w:pPr>
              <w:pStyle w:val="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eastAsia="zh-CN"/>
              </w:rPr>
            </w:pPr>
            <w:r>
              <w:rPr>
                <w:rFonts w:hint="eastAsia"/>
                <w:lang w:eastAsia="zh-CN"/>
              </w:rPr>
              <w:t>无</w:t>
            </w:r>
          </w:p>
        </w:tc>
      </w:tr>
    </w:tbl>
    <w:p w14:paraId="255E2A8A">
      <w:pPr>
        <w:spacing w:line="400" w:lineRule="exact"/>
        <w:outlineLvl w:val="2"/>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采购文件其他部分与前附表要求不一致的,以前附表为准。</w:t>
      </w:r>
      <w:bookmarkEnd w:id="20"/>
      <w:bookmarkEnd w:id="21"/>
    </w:p>
    <w:bookmarkEnd w:id="22"/>
    <w:bookmarkEnd w:id="23"/>
    <w:p w14:paraId="5B552553">
      <w:pPr>
        <w:rPr>
          <w:rFonts w:hint="eastAsia" w:ascii="黑体" w:hAnsi="黑体" w:eastAsia="黑体" w:cs="宋体"/>
          <w:b/>
          <w:color w:val="000000" w:themeColor="text1"/>
          <w:kern w:val="0"/>
          <w:sz w:val="28"/>
          <w:szCs w:val="28"/>
          <w14:textFill>
            <w14:solidFill>
              <w14:schemeClr w14:val="tx1"/>
            </w14:solidFill>
          </w14:textFill>
        </w:rPr>
      </w:pPr>
      <w:bookmarkStart w:id="27" w:name="_Toc6933777"/>
      <w:bookmarkStart w:id="28" w:name="_Toc6839429"/>
      <w:bookmarkStart w:id="29" w:name="_Toc6830613"/>
      <w:bookmarkStart w:id="30" w:name="_Toc7350282"/>
      <w:r>
        <w:rPr>
          <w:rFonts w:hint="eastAsia" w:ascii="黑体" w:hAnsi="黑体" w:eastAsia="黑体" w:cs="宋体"/>
          <w:b/>
          <w:color w:val="000000" w:themeColor="text1"/>
          <w:kern w:val="0"/>
          <w:sz w:val="28"/>
          <w:szCs w:val="28"/>
          <w14:textFill>
            <w14:solidFill>
              <w14:schemeClr w14:val="tx1"/>
            </w14:solidFill>
          </w14:textFill>
        </w:rPr>
        <w:br w:type="page"/>
      </w:r>
    </w:p>
    <w:p w14:paraId="60125F07">
      <w:pPr>
        <w:spacing w:line="360" w:lineRule="auto"/>
        <w:outlineLvl w:val="2"/>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s="宋体"/>
          <w:b/>
          <w:color w:val="000000" w:themeColor="text1"/>
          <w:kern w:val="0"/>
          <w:sz w:val="28"/>
          <w:szCs w:val="28"/>
          <w14:textFill>
            <w14:solidFill>
              <w14:schemeClr w14:val="tx1"/>
            </w14:solidFill>
          </w14:textFill>
        </w:rPr>
        <w:t>1.</w:t>
      </w:r>
      <w:r>
        <w:rPr>
          <w:rFonts w:hint="eastAsia" w:ascii="黑体" w:hAnsi="黑体" w:eastAsia="黑体"/>
          <w:color w:val="000000" w:themeColor="text1"/>
          <w:sz w:val="28"/>
          <w:szCs w:val="28"/>
          <w14:textFill>
            <w14:solidFill>
              <w14:schemeClr w14:val="tx1"/>
            </w14:solidFill>
          </w14:textFill>
        </w:rPr>
        <w:t>总则</w:t>
      </w:r>
      <w:bookmarkEnd w:id="27"/>
      <w:bookmarkEnd w:id="28"/>
      <w:bookmarkEnd w:id="29"/>
      <w:bookmarkEnd w:id="30"/>
    </w:p>
    <w:p w14:paraId="3BD476B8">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1.1 定义</w:t>
      </w:r>
    </w:p>
    <w:p w14:paraId="60DB4F40">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bookmarkStart w:id="31" w:name="_Toc265889985"/>
      <w:bookmarkStart w:id="32" w:name="_Toc265890870"/>
      <w:bookmarkStart w:id="33" w:name="_Toc265890343"/>
      <w:bookmarkStart w:id="34" w:name="_Toc265891404"/>
      <w:bookmarkStart w:id="35" w:name="_Toc278290271"/>
      <w:bookmarkStart w:id="36" w:name="_Toc265891610"/>
      <w:r>
        <w:rPr>
          <w:rFonts w:ascii="宋体" w:hAnsi="宋体"/>
          <w:color w:val="000000" w:themeColor="text1"/>
          <w:sz w:val="28"/>
          <w:szCs w:val="28"/>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 xml:space="preserve"> 项目：</w:t>
      </w:r>
      <w:bookmarkEnd w:id="31"/>
      <w:bookmarkEnd w:id="32"/>
      <w:bookmarkEnd w:id="33"/>
      <w:bookmarkEnd w:id="34"/>
      <w:bookmarkEnd w:id="35"/>
      <w:bookmarkEnd w:id="36"/>
      <w:r>
        <w:rPr>
          <w:rFonts w:hint="eastAsia" w:ascii="宋体" w:hAnsi="宋体"/>
          <w:color w:val="000000" w:themeColor="text1"/>
          <w:sz w:val="28"/>
          <w:szCs w:val="28"/>
          <w14:textFill>
            <w14:solidFill>
              <w14:schemeClr w14:val="tx1"/>
            </w14:solidFill>
          </w14:textFill>
        </w:rPr>
        <w:t>（同封面）</w:t>
      </w:r>
    </w:p>
    <w:p w14:paraId="587C455B">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1.2</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采购</w:t>
      </w:r>
      <w:r>
        <w:rPr>
          <w:rFonts w:ascii="宋体" w:hAnsi="宋体"/>
          <w:color w:val="000000" w:themeColor="text1"/>
          <w:sz w:val="28"/>
          <w:szCs w:val="28"/>
          <w14:textFill>
            <w14:solidFill>
              <w14:schemeClr w14:val="tx1"/>
            </w14:solidFill>
          </w14:textFill>
        </w:rPr>
        <w:t xml:space="preserve">人： </w:t>
      </w:r>
      <w:r>
        <w:rPr>
          <w:rFonts w:hint="eastAsia" w:ascii="宋体" w:hAnsi="宋体"/>
          <w:color w:val="000000" w:themeColor="text1"/>
          <w:sz w:val="28"/>
          <w:szCs w:val="28"/>
          <w14:textFill>
            <w14:solidFill>
              <w14:schemeClr w14:val="tx1"/>
            </w14:solidFill>
          </w14:textFill>
        </w:rPr>
        <w:t>（同封面）</w:t>
      </w:r>
    </w:p>
    <w:p w14:paraId="327D9E9C">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1.1.3采购机构</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##公司（同封面）</w:t>
      </w:r>
    </w:p>
    <w:p w14:paraId="183A8564">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1.4报价</w:t>
      </w:r>
      <w:r>
        <w:rPr>
          <w:rFonts w:ascii="宋体" w:hAnsi="宋体"/>
          <w:color w:val="000000" w:themeColor="text1"/>
          <w:sz w:val="28"/>
          <w:szCs w:val="28"/>
          <w14:textFill>
            <w14:solidFill>
              <w14:schemeClr w14:val="tx1"/>
            </w14:solidFill>
          </w14:textFill>
        </w:rPr>
        <w:t>人：参</w:t>
      </w:r>
      <w:r>
        <w:rPr>
          <w:rFonts w:hint="eastAsia" w:ascii="宋体" w:hAnsi="宋体"/>
          <w:color w:val="000000" w:themeColor="text1"/>
          <w:sz w:val="28"/>
          <w:szCs w:val="28"/>
          <w14:textFill>
            <w14:solidFill>
              <w14:schemeClr w14:val="tx1"/>
            </w14:solidFill>
          </w14:textFill>
        </w:rPr>
        <w:t>与本项目报价竞争</w:t>
      </w:r>
      <w:r>
        <w:rPr>
          <w:rFonts w:ascii="宋体" w:hAnsi="宋体"/>
          <w:color w:val="000000" w:themeColor="text1"/>
          <w:sz w:val="28"/>
          <w:szCs w:val="28"/>
          <w14:textFill>
            <w14:solidFill>
              <w14:schemeClr w14:val="tx1"/>
            </w14:solidFill>
          </w14:textFill>
        </w:rPr>
        <w:t>的法人</w:t>
      </w:r>
      <w:r>
        <w:rPr>
          <w:rFonts w:hint="eastAsia" w:ascii="宋体" w:hAnsi="宋体"/>
          <w:color w:val="000000" w:themeColor="text1"/>
          <w:sz w:val="28"/>
          <w:szCs w:val="28"/>
          <w14:textFill>
            <w14:solidFill>
              <w14:schemeClr w14:val="tx1"/>
            </w14:solidFill>
          </w14:textFill>
        </w:rPr>
        <w:t>或其它</w:t>
      </w:r>
      <w:r>
        <w:rPr>
          <w:rFonts w:ascii="宋体" w:hAnsi="宋体"/>
          <w:color w:val="000000" w:themeColor="text1"/>
          <w:sz w:val="28"/>
          <w:szCs w:val="28"/>
          <w14:textFill>
            <w14:solidFill>
              <w14:schemeClr w14:val="tx1"/>
            </w14:solidFill>
          </w14:textFill>
        </w:rPr>
        <w:t>组织</w:t>
      </w:r>
    </w:p>
    <w:p w14:paraId="181C0215">
      <w:pPr>
        <w:tabs>
          <w:tab w:val="left" w:pos="993"/>
          <w:tab w:val="left" w:pos="1134"/>
        </w:tabs>
        <w:spacing w:line="360" w:lineRule="auto"/>
        <w:ind w:firstLine="560" w:firstLineChars="200"/>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1.5成交供应商</w:t>
      </w:r>
      <w:r>
        <w:rPr>
          <w:rFonts w:ascii="宋体" w:hAnsi="宋体"/>
          <w:color w:val="000000" w:themeColor="text1"/>
          <w:sz w:val="28"/>
          <w:szCs w:val="28"/>
          <w14:textFill>
            <w14:solidFill>
              <w14:schemeClr w14:val="tx1"/>
            </w14:solidFill>
          </w14:textFill>
        </w:rPr>
        <w:t>：最终被授予合同的</w:t>
      </w:r>
      <w:r>
        <w:rPr>
          <w:rFonts w:hint="eastAsia" w:ascii="宋体" w:hAnsi="宋体"/>
          <w:color w:val="000000" w:themeColor="text1"/>
          <w:sz w:val="28"/>
          <w:szCs w:val="28"/>
          <w14:textFill>
            <w14:solidFill>
              <w14:schemeClr w14:val="tx1"/>
            </w14:solidFill>
          </w14:textFill>
        </w:rPr>
        <w:t>报价</w:t>
      </w:r>
      <w:r>
        <w:rPr>
          <w:rFonts w:ascii="宋体" w:hAnsi="宋体"/>
          <w:color w:val="000000" w:themeColor="text1"/>
          <w:sz w:val="28"/>
          <w:szCs w:val="28"/>
          <w14:textFill>
            <w14:solidFill>
              <w14:schemeClr w14:val="tx1"/>
            </w14:solidFill>
          </w14:textFill>
        </w:rPr>
        <w:t>人。</w:t>
      </w:r>
    </w:p>
    <w:p w14:paraId="05888E50">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1.2 项目概况</w:t>
      </w:r>
    </w:p>
    <w:p w14:paraId="62C84CC1">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2.1</w:t>
      </w:r>
      <w:r>
        <w:rPr>
          <w:rFonts w:ascii="宋体" w:hAnsi="宋体"/>
          <w:color w:val="000000" w:themeColor="text1"/>
          <w:sz w:val="28"/>
          <w:szCs w:val="28"/>
          <w14:textFill>
            <w14:solidFill>
              <w14:schemeClr w14:val="tx1"/>
            </w14:solidFill>
          </w14:textFill>
        </w:rPr>
        <w:t>本</w:t>
      </w:r>
      <w:r>
        <w:rPr>
          <w:rFonts w:hint="eastAsia" w:ascii="宋体" w:hAnsi="宋体"/>
          <w:color w:val="000000" w:themeColor="text1"/>
          <w:sz w:val="28"/>
          <w:szCs w:val="28"/>
          <w14:textFill>
            <w14:solidFill>
              <w14:schemeClr w14:val="tx1"/>
            </w14:solidFill>
          </w14:textFill>
        </w:rPr>
        <w:t>项目</w:t>
      </w:r>
      <w:r>
        <w:rPr>
          <w:rFonts w:ascii="宋体" w:hAnsi="宋体"/>
          <w:color w:val="000000" w:themeColor="text1"/>
          <w:sz w:val="28"/>
          <w:szCs w:val="28"/>
          <w14:textFill>
            <w14:solidFill>
              <w14:schemeClr w14:val="tx1"/>
            </w14:solidFill>
          </w14:textFill>
        </w:rPr>
        <w:t>询价范围</w:t>
      </w:r>
      <w:r>
        <w:rPr>
          <w:rFonts w:hint="eastAsia" w:ascii="宋体" w:hAnsi="宋体"/>
          <w:color w:val="000000" w:themeColor="text1"/>
          <w:sz w:val="28"/>
          <w:szCs w:val="28"/>
          <w14:textFill>
            <w14:solidFill>
              <w14:schemeClr w14:val="tx1"/>
            </w14:solidFill>
          </w14:textFill>
        </w:rPr>
        <w:t>为本采购文件规定的，</w:t>
      </w:r>
      <w:r>
        <w:rPr>
          <w:rFonts w:ascii="宋体" w:hAnsi="宋体"/>
          <w:color w:val="000000" w:themeColor="text1"/>
          <w:sz w:val="28"/>
          <w:szCs w:val="28"/>
          <w14:textFill>
            <w14:solidFill>
              <w14:schemeClr w14:val="tx1"/>
            </w14:solidFill>
          </w14:textFill>
        </w:rPr>
        <w:t>同时也包括所有必要的材料、专用工具、消耗品以及技术资料和技术服务等。具体内容详见</w:t>
      </w:r>
      <w:r>
        <w:rPr>
          <w:rFonts w:hint="eastAsia" w:ascii="宋体" w:hAnsi="宋体"/>
          <w:color w:val="000000" w:themeColor="text1"/>
          <w:sz w:val="28"/>
          <w:szCs w:val="28"/>
          <w14:textFill>
            <w14:solidFill>
              <w14:schemeClr w14:val="tx1"/>
            </w14:solidFill>
          </w14:textFill>
        </w:rPr>
        <w:t>技术部分</w:t>
      </w:r>
      <w:r>
        <w:rPr>
          <w:rFonts w:ascii="宋体" w:hAnsi="宋体"/>
          <w:color w:val="000000" w:themeColor="text1"/>
          <w:sz w:val="28"/>
          <w:szCs w:val="28"/>
          <w14:textFill>
            <w14:solidFill>
              <w14:schemeClr w14:val="tx1"/>
            </w14:solidFill>
          </w14:textFill>
        </w:rPr>
        <w:t>有关规定。</w:t>
      </w:r>
    </w:p>
    <w:p w14:paraId="39358312">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1.2.2本项目的服务期：见前附表。</w:t>
      </w:r>
    </w:p>
    <w:p w14:paraId="54F22626">
      <w:pPr>
        <w:tabs>
          <w:tab w:val="left" w:pos="993"/>
          <w:tab w:val="left" w:pos="1134"/>
        </w:tabs>
        <w:spacing w:line="360" w:lineRule="auto"/>
        <w:ind w:firstLine="565" w:firstLineChars="202"/>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1.2.3本项目的付款方式：见前附表。</w:t>
      </w:r>
    </w:p>
    <w:p w14:paraId="68AE6D1F">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1.3 合格报价人</w:t>
      </w:r>
    </w:p>
    <w:p w14:paraId="069D3EFE">
      <w:pPr>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除前附表所列资格要求外，合格报价人还应具有下列条件：</w:t>
      </w:r>
    </w:p>
    <w:p w14:paraId="59864BFF">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1.3.1报价人应具有良好的银行资信和商业信誉，没有处于被责令停业、财产被接管、冻结、破产或重组状态；</w:t>
      </w:r>
      <w:r>
        <w:rPr>
          <w:rFonts w:ascii="宋体" w:hAnsi="宋体"/>
          <w:color w:val="000000" w:themeColor="text1"/>
          <w:sz w:val="28"/>
          <w:szCs w:val="28"/>
          <w14:textFill>
            <w14:solidFill>
              <w14:schemeClr w14:val="tx1"/>
            </w14:solidFill>
          </w14:textFill>
        </w:rPr>
        <w:t xml:space="preserve"> </w:t>
      </w:r>
    </w:p>
    <w:p w14:paraId="101E588C">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1.3.2报价人不得直接或间接地与采购人雇佣或曾经雇佣过的，为本次采购编制技术规范和其他文件或提供咨询服务的公司包括其附属机构有任何关联；</w:t>
      </w:r>
    </w:p>
    <w:p w14:paraId="77379D57">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1.3.3 无中国国家有关部门所界定的腐败、欺诈或失信等行为；</w:t>
      </w:r>
    </w:p>
    <w:p w14:paraId="2B9C126F">
      <w:pPr>
        <w:tabs>
          <w:tab w:val="left" w:pos="993"/>
          <w:tab w:val="left" w:pos="1134"/>
        </w:tabs>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1.3.4 单位负责人为同一人或者存在控股、管理关系的不同单位，不得参加同一项目的报价。</w:t>
      </w:r>
    </w:p>
    <w:p w14:paraId="1D7C01AC">
      <w:pPr>
        <w:spacing w:line="360" w:lineRule="auto"/>
        <w:outlineLvl w:val="3"/>
        <w:rPr>
          <w:rFonts w:ascii="黑体" w:eastAsia="黑体"/>
          <w:color w:val="000000" w:themeColor="text1"/>
          <w:sz w:val="28"/>
          <w:szCs w:val="28"/>
          <w14:textFill>
            <w14:solidFill>
              <w14:schemeClr w14:val="tx1"/>
            </w14:solidFill>
          </w14:textFill>
        </w:rPr>
      </w:pPr>
      <w:bookmarkStart w:id="37" w:name="_Toc179632553"/>
      <w:bookmarkStart w:id="38" w:name="_Toc247085695"/>
      <w:bookmarkStart w:id="39" w:name="_Toc296602426"/>
      <w:bookmarkStart w:id="40" w:name="_Toc246996924"/>
      <w:bookmarkStart w:id="41" w:name="_Toc451013252"/>
      <w:bookmarkStart w:id="42" w:name="_Toc144974504"/>
      <w:bookmarkStart w:id="43" w:name="_Toc152042312"/>
      <w:bookmarkStart w:id="44" w:name="_Toc452121893"/>
      <w:bookmarkStart w:id="45" w:name="_Toc246996181"/>
      <w:bookmarkStart w:id="46" w:name="_Toc152045536"/>
      <w:r>
        <w:rPr>
          <w:rFonts w:hint="eastAsia" w:ascii="黑体" w:eastAsia="黑体"/>
          <w:color w:val="000000" w:themeColor="text1"/>
          <w:sz w:val="28"/>
          <w:szCs w:val="28"/>
          <w14:textFill>
            <w14:solidFill>
              <w14:schemeClr w14:val="tx1"/>
            </w14:solidFill>
          </w14:textFill>
        </w:rPr>
        <w:t>1.4 保密</w:t>
      </w:r>
      <w:bookmarkEnd w:id="37"/>
      <w:bookmarkEnd w:id="38"/>
      <w:bookmarkEnd w:id="39"/>
      <w:bookmarkEnd w:id="40"/>
      <w:bookmarkEnd w:id="41"/>
      <w:bookmarkEnd w:id="42"/>
      <w:bookmarkEnd w:id="43"/>
      <w:bookmarkEnd w:id="44"/>
      <w:bookmarkEnd w:id="45"/>
      <w:bookmarkEnd w:id="46"/>
    </w:p>
    <w:p w14:paraId="3958D2B1">
      <w:pPr>
        <w:tabs>
          <w:tab w:val="left" w:pos="993"/>
          <w:tab w:val="left" w:pos="1134"/>
        </w:tabs>
        <w:spacing w:line="360" w:lineRule="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参与询价、报价活动的各方应对询价文件和报价文件中的商业和技术等秘密保密，违者应对由此造成的后果承担法律责任。 </w:t>
      </w:r>
    </w:p>
    <w:p w14:paraId="1F97946A">
      <w:pPr>
        <w:spacing w:line="360" w:lineRule="auto"/>
        <w:outlineLvl w:val="3"/>
        <w:rPr>
          <w:rFonts w:ascii="黑体" w:eastAsia="黑体"/>
          <w:color w:val="000000" w:themeColor="text1"/>
          <w:sz w:val="28"/>
          <w:szCs w:val="28"/>
          <w14:textFill>
            <w14:solidFill>
              <w14:schemeClr w14:val="tx1"/>
            </w14:solidFill>
          </w14:textFill>
        </w:rPr>
      </w:pPr>
      <w:bookmarkStart w:id="47" w:name="_Toc144974505"/>
      <w:bookmarkStart w:id="48" w:name="_Toc152042313"/>
      <w:bookmarkStart w:id="49" w:name="_Toc451013253"/>
      <w:bookmarkStart w:id="50" w:name="_Toc452121894"/>
      <w:bookmarkStart w:id="51" w:name="_Toc246996182"/>
      <w:bookmarkStart w:id="52" w:name="_Toc296602427"/>
      <w:bookmarkStart w:id="53" w:name="_Toc152045537"/>
      <w:bookmarkStart w:id="54" w:name="_Toc246996925"/>
      <w:bookmarkStart w:id="55" w:name="_Toc247085696"/>
      <w:bookmarkStart w:id="56" w:name="_Toc179632554"/>
      <w:r>
        <w:rPr>
          <w:rFonts w:hint="eastAsia" w:ascii="黑体" w:eastAsia="黑体"/>
          <w:color w:val="000000" w:themeColor="text1"/>
          <w:sz w:val="28"/>
          <w:szCs w:val="28"/>
          <w14:textFill>
            <w14:solidFill>
              <w14:schemeClr w14:val="tx1"/>
            </w14:solidFill>
          </w14:textFill>
        </w:rPr>
        <w:t>1.5 语言</w:t>
      </w:r>
      <w:bookmarkEnd w:id="47"/>
      <w:r>
        <w:rPr>
          <w:rFonts w:hint="eastAsia" w:ascii="黑体" w:eastAsia="黑体"/>
          <w:color w:val="000000" w:themeColor="text1"/>
          <w:sz w:val="28"/>
          <w:szCs w:val="28"/>
          <w14:textFill>
            <w14:solidFill>
              <w14:schemeClr w14:val="tx1"/>
            </w14:solidFill>
          </w14:textFill>
        </w:rPr>
        <w:t>文字</w:t>
      </w:r>
      <w:bookmarkEnd w:id="48"/>
      <w:bookmarkEnd w:id="49"/>
      <w:bookmarkEnd w:id="50"/>
      <w:bookmarkEnd w:id="51"/>
      <w:bookmarkEnd w:id="52"/>
      <w:bookmarkEnd w:id="53"/>
      <w:bookmarkEnd w:id="54"/>
      <w:bookmarkEnd w:id="55"/>
      <w:bookmarkEnd w:id="56"/>
    </w:p>
    <w:p w14:paraId="15255E42">
      <w:pPr>
        <w:spacing w:line="360" w:lineRule="auto"/>
        <w:ind w:firstLine="560" w:firstLineChars="200"/>
        <w:rPr>
          <w:rFonts w:hint="eastAsia" w:ascii="宋体" w:hAnsi="宋体"/>
          <w:color w:val="000000" w:themeColor="text1"/>
          <w:sz w:val="28"/>
          <w:szCs w:val="28"/>
          <w14:textFill>
            <w14:solidFill>
              <w14:schemeClr w14:val="tx1"/>
            </w14:solidFill>
          </w14:textFill>
        </w:rPr>
      </w:pPr>
      <w:bookmarkStart w:id="57" w:name="_Toc451013254"/>
      <w:bookmarkStart w:id="58" w:name="_Toc246996926"/>
      <w:bookmarkStart w:id="59" w:name="_Toc296602428"/>
      <w:bookmarkStart w:id="60" w:name="_Toc152042314"/>
      <w:bookmarkStart w:id="61" w:name="_Toc246996183"/>
      <w:bookmarkStart w:id="62" w:name="_Toc152045538"/>
      <w:bookmarkStart w:id="63" w:name="_Toc144974506"/>
      <w:bookmarkStart w:id="64" w:name="_Toc247085697"/>
      <w:bookmarkStart w:id="65" w:name="_Toc452121895"/>
      <w:bookmarkStart w:id="66" w:name="_Toc179632555"/>
      <w:r>
        <w:rPr>
          <w:rFonts w:hint="eastAsia" w:ascii="宋体" w:hAnsi="宋体"/>
          <w:color w:val="000000" w:themeColor="text1"/>
          <w:sz w:val="28"/>
          <w:szCs w:val="28"/>
          <w14:textFill>
            <w14:solidFill>
              <w14:schemeClr w14:val="tx1"/>
            </w14:solidFill>
          </w14:textFill>
        </w:rPr>
        <w:t>采购文件和报价文件使用的语言文字为中文。有其它语言的书面材料应附有中文译文，专用术语使用外文的应附有中文注释，并以中文译文和中文注释为准。</w:t>
      </w:r>
    </w:p>
    <w:p w14:paraId="559DC2D9">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1.6 计量单位</w:t>
      </w:r>
      <w:bookmarkEnd w:id="57"/>
      <w:bookmarkEnd w:id="58"/>
      <w:bookmarkEnd w:id="59"/>
      <w:bookmarkEnd w:id="60"/>
      <w:bookmarkEnd w:id="61"/>
      <w:bookmarkEnd w:id="62"/>
      <w:bookmarkEnd w:id="63"/>
      <w:bookmarkEnd w:id="64"/>
      <w:bookmarkEnd w:id="65"/>
      <w:bookmarkEnd w:id="66"/>
    </w:p>
    <w:p w14:paraId="2048D381">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所有计量均采用中华人民共和国法定计量单位。</w:t>
      </w:r>
    </w:p>
    <w:p w14:paraId="24E6B915">
      <w:pPr>
        <w:spacing w:line="360" w:lineRule="auto"/>
        <w:outlineLvl w:val="3"/>
        <w:rPr>
          <w:rFonts w:ascii="黑体" w:eastAsia="黑体"/>
          <w:color w:val="000000" w:themeColor="text1"/>
          <w:sz w:val="28"/>
          <w:szCs w:val="28"/>
          <w14:textFill>
            <w14:solidFill>
              <w14:schemeClr w14:val="tx1"/>
            </w14:solidFill>
          </w14:textFill>
        </w:rPr>
      </w:pPr>
      <w:bookmarkStart w:id="67" w:name="_Toc451013256"/>
      <w:bookmarkStart w:id="68" w:name="_Toc296602431"/>
      <w:bookmarkStart w:id="69" w:name="_Toc452121897"/>
      <w:r>
        <w:rPr>
          <w:rFonts w:hint="eastAsia" w:ascii="黑体" w:eastAsia="黑体"/>
          <w:color w:val="000000" w:themeColor="text1"/>
          <w:sz w:val="28"/>
          <w:szCs w:val="28"/>
          <w14:textFill>
            <w14:solidFill>
              <w14:schemeClr w14:val="tx1"/>
            </w14:solidFill>
          </w14:textFill>
        </w:rPr>
        <w:t>1.7 报价费用</w:t>
      </w:r>
      <w:bookmarkEnd w:id="67"/>
      <w:bookmarkEnd w:id="68"/>
      <w:bookmarkEnd w:id="69"/>
    </w:p>
    <w:p w14:paraId="42571D77">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报价人应自行承担所有与准备和参加报价有关的费用，采购人无义务和责任承担任何此类费用，即一切与报价有关的费用均由报价人自理。</w:t>
      </w:r>
    </w:p>
    <w:p w14:paraId="231238F9">
      <w:pPr>
        <w:spacing w:line="360" w:lineRule="auto"/>
        <w:outlineLvl w:val="3"/>
        <w:rPr>
          <w:rFonts w:ascii="黑体" w:eastAsia="黑体"/>
          <w:color w:val="000000" w:themeColor="text1"/>
          <w:sz w:val="28"/>
          <w:szCs w:val="28"/>
          <w14:textFill>
            <w14:solidFill>
              <w14:schemeClr w14:val="tx1"/>
            </w14:solidFill>
          </w14:textFill>
        </w:rPr>
      </w:pPr>
      <w:bookmarkStart w:id="70" w:name="_Toc247527563"/>
      <w:bookmarkStart w:id="71" w:name="_Toc247513962"/>
      <w:bookmarkStart w:id="72" w:name="_Toc152045539"/>
      <w:bookmarkStart w:id="73" w:name="_Toc247592876"/>
      <w:bookmarkStart w:id="74" w:name="_Toc152042315"/>
      <w:bookmarkStart w:id="75" w:name="_Toc452067970"/>
      <w:bookmarkStart w:id="76" w:name="_Toc296602429"/>
      <w:bookmarkStart w:id="77" w:name="_Toc144974507"/>
      <w:bookmarkStart w:id="78" w:name="_Toc451013257"/>
      <w:bookmarkStart w:id="79" w:name="_Toc451001557"/>
      <w:bookmarkStart w:id="80" w:name="_Toc452121898"/>
      <w:r>
        <w:rPr>
          <w:rFonts w:ascii="黑体" w:eastAsia="黑体"/>
          <w:color w:val="000000" w:themeColor="text1"/>
          <w:sz w:val="28"/>
          <w:szCs w:val="28"/>
          <w14:textFill>
            <w14:solidFill>
              <w14:schemeClr w14:val="tx1"/>
            </w14:solidFill>
          </w14:textFill>
        </w:rPr>
        <w:t>1.</w:t>
      </w:r>
      <w:r>
        <w:rPr>
          <w:rFonts w:hint="eastAsia" w:ascii="黑体" w:eastAsia="黑体"/>
          <w:color w:val="000000" w:themeColor="text1"/>
          <w:sz w:val="28"/>
          <w:szCs w:val="28"/>
          <w14:textFill>
            <w14:solidFill>
              <w14:schemeClr w14:val="tx1"/>
            </w14:solidFill>
          </w14:textFill>
        </w:rPr>
        <w:t>8</w:t>
      </w:r>
      <w:r>
        <w:rPr>
          <w:rFonts w:ascii="黑体" w:eastAsia="黑体"/>
          <w:color w:val="000000" w:themeColor="text1"/>
          <w:sz w:val="28"/>
          <w:szCs w:val="28"/>
          <w14:textFill>
            <w14:solidFill>
              <w14:schemeClr w14:val="tx1"/>
            </w14:solidFill>
          </w14:textFill>
        </w:rPr>
        <w:t xml:space="preserve"> </w:t>
      </w:r>
      <w:r>
        <w:rPr>
          <w:rFonts w:hint="eastAsia" w:ascii="黑体" w:eastAsia="黑体"/>
          <w:color w:val="000000" w:themeColor="text1"/>
          <w:sz w:val="28"/>
          <w:szCs w:val="28"/>
          <w14:textFill>
            <w14:solidFill>
              <w14:schemeClr w14:val="tx1"/>
            </w14:solidFill>
          </w14:textFill>
        </w:rPr>
        <w:t>发票类型、税率</w:t>
      </w:r>
    </w:p>
    <w:p w14:paraId="0D205AAA">
      <w:pPr>
        <w:spacing w:line="360" w:lineRule="auto"/>
        <w:rPr>
          <w:rFonts w:ascii="黑体" w:eastAsia="黑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本项目发票类型和税率说明详见前附表。</w:t>
      </w:r>
    </w:p>
    <w:p w14:paraId="2D42D3B2">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1.9</w:t>
      </w:r>
      <w:bookmarkEnd w:id="70"/>
      <w:bookmarkEnd w:id="71"/>
      <w:bookmarkEnd w:id="72"/>
      <w:bookmarkEnd w:id="73"/>
      <w:bookmarkEnd w:id="74"/>
      <w:bookmarkEnd w:id="75"/>
      <w:bookmarkEnd w:id="76"/>
      <w:bookmarkEnd w:id="77"/>
      <w:r>
        <w:rPr>
          <w:rFonts w:hint="eastAsia" w:ascii="黑体" w:eastAsia="黑体"/>
          <w:color w:val="000000" w:themeColor="text1"/>
          <w:sz w:val="28"/>
          <w:szCs w:val="28"/>
          <w14:textFill>
            <w14:solidFill>
              <w14:schemeClr w14:val="tx1"/>
            </w14:solidFill>
          </w14:textFill>
        </w:rPr>
        <w:t xml:space="preserve"> 报价截止时间</w:t>
      </w:r>
      <w:bookmarkEnd w:id="78"/>
      <w:bookmarkEnd w:id="79"/>
      <w:bookmarkEnd w:id="80"/>
    </w:p>
    <w:p w14:paraId="77C02662">
      <w:pPr>
        <w:spacing w:line="360" w:lineRule="auto"/>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本项目报价截止时间详见</w:t>
      </w:r>
      <w:r>
        <w:rPr>
          <w:rFonts w:hint="eastAsia" w:ascii="宋体" w:hAnsi="宋体"/>
          <w:color w:val="000000" w:themeColor="text1"/>
          <w:sz w:val="28"/>
          <w:szCs w:val="28"/>
          <w:lang w:val="en-US" w:eastAsia="zh-CN"/>
          <w14:textFill>
            <w14:solidFill>
              <w14:schemeClr w14:val="tx1"/>
            </w14:solidFill>
          </w14:textFill>
        </w:rPr>
        <w:t>官网公告</w:t>
      </w:r>
      <w:r>
        <w:rPr>
          <w:rFonts w:hint="eastAsia" w:ascii="宋体" w:hAnsi="宋体"/>
          <w:color w:val="000000" w:themeColor="text1"/>
          <w:sz w:val="28"/>
          <w:szCs w:val="28"/>
          <w14:textFill>
            <w14:solidFill>
              <w14:schemeClr w14:val="tx1"/>
            </w14:solidFill>
          </w14:textFill>
        </w:rPr>
        <w:t>，并以</w:t>
      </w:r>
      <w:r>
        <w:rPr>
          <w:rFonts w:hint="eastAsia" w:ascii="宋体" w:hAnsi="宋体"/>
          <w:color w:val="000000" w:themeColor="text1"/>
          <w:sz w:val="28"/>
          <w:szCs w:val="28"/>
          <w:lang w:val="en-US" w:eastAsia="zh-CN"/>
          <w14:textFill>
            <w14:solidFill>
              <w14:schemeClr w14:val="tx1"/>
            </w14:solidFill>
          </w14:textFill>
        </w:rPr>
        <w:t>官网公告</w:t>
      </w:r>
      <w:r>
        <w:rPr>
          <w:rFonts w:hint="eastAsia" w:ascii="宋体" w:hAnsi="宋体"/>
          <w:color w:val="000000" w:themeColor="text1"/>
          <w:sz w:val="28"/>
          <w:szCs w:val="28"/>
          <w14:textFill>
            <w14:solidFill>
              <w14:schemeClr w14:val="tx1"/>
            </w14:solidFill>
          </w14:textFill>
        </w:rPr>
        <w:t>本项目报价截止时间为准。</w:t>
      </w:r>
    </w:p>
    <w:p w14:paraId="218D6BD3">
      <w:pPr>
        <w:spacing w:line="360" w:lineRule="auto"/>
        <w:outlineLvl w:val="3"/>
        <w:rPr>
          <w:rFonts w:ascii="黑体" w:eastAsia="黑体"/>
          <w:color w:val="000000" w:themeColor="text1"/>
          <w:sz w:val="28"/>
          <w:szCs w:val="28"/>
          <w14:textFill>
            <w14:solidFill>
              <w14:schemeClr w14:val="tx1"/>
            </w14:solidFill>
          </w14:textFill>
        </w:rPr>
      </w:pPr>
      <w:bookmarkStart w:id="81" w:name="_Toc451013259"/>
      <w:bookmarkStart w:id="82" w:name="_Toc451001559"/>
      <w:bookmarkStart w:id="83" w:name="_Toc452121900"/>
      <w:r>
        <w:rPr>
          <w:rFonts w:hint="eastAsia" w:ascii="黑体" w:eastAsia="黑体"/>
          <w:color w:val="000000" w:themeColor="text1"/>
          <w:sz w:val="28"/>
          <w:szCs w:val="28"/>
          <w14:textFill>
            <w14:solidFill>
              <w14:schemeClr w14:val="tx1"/>
            </w14:solidFill>
          </w14:textFill>
        </w:rPr>
        <w:t>1.10 采购服务费</w:t>
      </w:r>
      <w:bookmarkEnd w:id="81"/>
      <w:bookmarkEnd w:id="82"/>
      <w:bookmarkEnd w:id="83"/>
    </w:p>
    <w:p w14:paraId="4C82D28A">
      <w:pPr>
        <w:spacing w:line="360" w:lineRule="auto"/>
        <w:ind w:firstLine="420" w:firstLineChars="150"/>
        <w:rPr>
          <w:rFonts w:hint="eastAsia" w:ascii="宋体" w:hAnsi="宋体"/>
          <w:sz w:val="24"/>
        </w:rPr>
      </w:pPr>
      <w:bookmarkStart w:id="84" w:name="_Toc6839430"/>
      <w:bookmarkStart w:id="85" w:name="_Toc152042318"/>
      <w:bookmarkStart w:id="86" w:name="_Toc179632560"/>
      <w:bookmarkStart w:id="87" w:name="_Toc6830614"/>
      <w:bookmarkStart w:id="88" w:name="_Toc247085701"/>
      <w:bookmarkStart w:id="89" w:name="_Toc296602432"/>
      <w:bookmarkStart w:id="90" w:name="_Toc6933778"/>
      <w:bookmarkStart w:id="91" w:name="_Toc144974510"/>
      <w:bookmarkStart w:id="92" w:name="_Toc246996187"/>
      <w:bookmarkStart w:id="93" w:name="_Toc246996930"/>
      <w:bookmarkStart w:id="94" w:name="_Toc452121901"/>
      <w:bookmarkStart w:id="95" w:name="_Toc152045542"/>
      <w:r>
        <w:rPr>
          <w:rFonts w:hint="eastAsia" w:ascii="宋体" w:hAnsi="宋体"/>
          <w:sz w:val="28"/>
          <w:szCs w:val="28"/>
          <w:lang w:val="en-US" w:eastAsia="zh-CN"/>
        </w:rPr>
        <w:t>详见</w:t>
      </w:r>
      <w:r>
        <w:rPr>
          <w:rFonts w:hint="eastAsia" w:ascii="宋体" w:hAnsi="宋体"/>
          <w:sz w:val="28"/>
          <w:szCs w:val="28"/>
        </w:rPr>
        <w:t xml:space="preserve">须知前附表规定   </w:t>
      </w:r>
      <w:r>
        <w:rPr>
          <w:rFonts w:hint="eastAsia" w:ascii="宋体" w:hAnsi="宋体"/>
          <w:sz w:val="24"/>
        </w:rPr>
        <w:t xml:space="preserve"> </w:t>
      </w:r>
    </w:p>
    <w:p w14:paraId="45C0B3EA">
      <w:pPr>
        <w:spacing w:line="360" w:lineRule="auto"/>
        <w:outlineLvl w:val="2"/>
        <w:rPr>
          <w:rFonts w:hint="eastAsia" w:ascii="黑体" w:hAnsi="黑体" w:eastAsia="黑体" w:cs="宋体"/>
          <w:color w:val="000000" w:themeColor="text1"/>
          <w:kern w:val="0"/>
          <w:sz w:val="28"/>
          <w:szCs w:val="28"/>
          <w:lang w:val="zh-CN"/>
          <w14:textFill>
            <w14:solidFill>
              <w14:schemeClr w14:val="tx1"/>
            </w14:solidFill>
          </w14:textFill>
        </w:rPr>
      </w:pPr>
      <w:bookmarkStart w:id="96" w:name="_Toc7350283"/>
      <w:r>
        <w:rPr>
          <w:rFonts w:hint="eastAsia" w:ascii="黑体" w:hAnsi="黑体" w:eastAsia="黑体" w:cs="宋体"/>
          <w:color w:val="000000" w:themeColor="text1"/>
          <w:kern w:val="0"/>
          <w:sz w:val="28"/>
          <w:szCs w:val="28"/>
          <w:lang w:val="zh-CN"/>
          <w14:textFill>
            <w14:solidFill>
              <w14:schemeClr w14:val="tx1"/>
            </w14:solidFill>
          </w14:textFill>
        </w:rPr>
        <w:t>2.询价文件</w:t>
      </w:r>
      <w:bookmarkEnd w:id="84"/>
      <w:bookmarkEnd w:id="85"/>
      <w:bookmarkEnd w:id="86"/>
      <w:bookmarkEnd w:id="87"/>
      <w:bookmarkEnd w:id="88"/>
      <w:bookmarkEnd w:id="89"/>
      <w:bookmarkEnd w:id="90"/>
      <w:bookmarkEnd w:id="91"/>
      <w:bookmarkEnd w:id="92"/>
      <w:bookmarkEnd w:id="93"/>
      <w:bookmarkEnd w:id="94"/>
      <w:bookmarkEnd w:id="95"/>
      <w:bookmarkEnd w:id="96"/>
    </w:p>
    <w:p w14:paraId="0CC2F06D">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2.1询价文件组成</w:t>
      </w:r>
    </w:p>
    <w:p w14:paraId="2D8E45F6">
      <w:pPr>
        <w:pStyle w:val="33"/>
        <w:spacing w:line="360" w:lineRule="auto"/>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询价文件用以阐明采购范围，介绍基本的询价程序，提供相应的合同条款。</w:t>
      </w:r>
    </w:p>
    <w:p w14:paraId="461EC955">
      <w:pPr>
        <w:pStyle w:val="33"/>
        <w:spacing w:line="360" w:lineRule="auto"/>
        <w:ind w:firstLine="0" w:firstLineChars="0"/>
        <w:jc w:val="left"/>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报价人应认真阅读询价文件中所有的须知、格式要求、条款、技术要求和其它资料。如果报价人没有按照询价文件要求提交全部资料，或者提交的资料没有对询价文件在各方面都做出实质性响应而导致其报价被拒绝，该责任由报价人承担。</w:t>
      </w:r>
    </w:p>
    <w:p w14:paraId="261E88FD">
      <w:pPr>
        <w:spacing w:line="360" w:lineRule="auto"/>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 xml:space="preserve">2.2询价文件澄清 </w:t>
      </w:r>
    </w:p>
    <w:p w14:paraId="7C7A13D8">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2.2.1采购人/采购机构采用书面文件的形式，对已发出的询价文件进行必要的澄清与修改。</w:t>
      </w:r>
    </w:p>
    <w:p w14:paraId="72583FAD">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2.2.2 如报价人不清楚或无法确定任何项下的范围，应在提交其报价文件前，根据询价文件须知请求予以澄清。</w:t>
      </w:r>
    </w:p>
    <w:p w14:paraId="3E8FB394">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3 报价人对询价文件如有疑问，一般应在报价截止日期48小时以前发送澄清文件，</w:t>
      </w:r>
      <w:r>
        <w:rPr>
          <w:rFonts w:hint="eastAsia" w:ascii="宋体" w:hAnsi="宋体"/>
          <w:color w:val="000000" w:themeColor="text1"/>
          <w:sz w:val="28"/>
          <w:szCs w:val="28"/>
          <w:lang w:val="en-US" w:eastAsia="zh-CN"/>
          <w14:textFill>
            <w14:solidFill>
              <w14:schemeClr w14:val="tx1"/>
            </w14:solidFill>
          </w14:textFill>
        </w:rPr>
        <w:t>通过邮箱</w:t>
      </w:r>
      <w:r>
        <w:rPr>
          <w:rFonts w:hint="eastAsia" w:ascii="宋体" w:hAnsi="宋体"/>
          <w:color w:val="000000" w:themeColor="text1"/>
          <w:sz w:val="28"/>
          <w:szCs w:val="28"/>
          <w14:textFill>
            <w14:solidFill>
              <w14:schemeClr w14:val="tx1"/>
            </w14:solidFill>
          </w14:textFill>
        </w:rPr>
        <w:t>上传要求澄清的文件。采购人/采购机构对要求澄清问题的合理部分予以答复，并将电子版澄清答复文件</w:t>
      </w:r>
      <w:r>
        <w:rPr>
          <w:rFonts w:hint="eastAsia" w:ascii="宋体" w:hAnsi="宋体"/>
          <w:color w:val="000000" w:themeColor="text1"/>
          <w:sz w:val="28"/>
          <w:szCs w:val="28"/>
          <w:lang w:val="en-US" w:eastAsia="zh-CN"/>
          <w14:textFill>
            <w14:solidFill>
              <w14:schemeClr w14:val="tx1"/>
            </w14:solidFill>
          </w14:textFill>
        </w:rPr>
        <w:t>回复至来问邮箱</w:t>
      </w:r>
      <w:r>
        <w:rPr>
          <w:rFonts w:hint="eastAsia" w:ascii="宋体" w:hAnsi="宋体"/>
          <w:color w:val="000000" w:themeColor="text1"/>
          <w:sz w:val="28"/>
          <w:szCs w:val="28"/>
          <w14:textFill>
            <w14:solidFill>
              <w14:schemeClr w14:val="tx1"/>
            </w14:solidFill>
          </w14:textFill>
        </w:rPr>
        <w:t>（答复中不包括问题的来源）。</w:t>
      </w:r>
    </w:p>
    <w:p w14:paraId="29E9059D">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bookmarkStart w:id="97" w:name="_Toc6839431"/>
      <w:bookmarkStart w:id="98" w:name="_Toc6830615"/>
      <w:bookmarkStart w:id="99" w:name="_Toc7350284"/>
      <w:bookmarkStart w:id="100" w:name="_Toc6933779"/>
      <w:r>
        <w:rPr>
          <w:rFonts w:hint="eastAsia" w:ascii="宋体" w:hAnsi="宋体"/>
          <w:color w:val="000000" w:themeColor="text1"/>
          <w:sz w:val="28"/>
          <w:szCs w:val="28"/>
          <w14:textFill>
            <w14:solidFill>
              <w14:schemeClr w14:val="tx1"/>
            </w14:solidFill>
          </w14:textFill>
        </w:rPr>
        <w:t>2.2.4若澄清文件回复时间距报价截止日期不足48小时，报价截止日期顺延。</w:t>
      </w:r>
    </w:p>
    <w:p w14:paraId="6B89317F">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5报价人已提交报价的，可在报价截止日期前进行修改并再次提交。</w:t>
      </w:r>
    </w:p>
    <w:p w14:paraId="093CD0B2">
      <w:pPr>
        <w:adjustRightIn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2</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6 澄清文件将构成采购文件的一部分，对采购人、报价人双方具有同等约束力。</w:t>
      </w:r>
    </w:p>
    <w:p w14:paraId="7D1F045E">
      <w:pPr>
        <w:spacing w:line="360" w:lineRule="auto"/>
        <w:outlineLvl w:val="2"/>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3.报价文件</w:t>
      </w:r>
      <w:bookmarkEnd w:id="97"/>
      <w:bookmarkEnd w:id="98"/>
      <w:bookmarkEnd w:id="99"/>
      <w:bookmarkEnd w:id="100"/>
    </w:p>
    <w:p w14:paraId="29F783D5">
      <w:pPr>
        <w:spacing w:line="360" w:lineRule="auto"/>
        <w:ind w:firstLine="57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报价文件由商务文件和技术文件两部分内容组成，报价人须按要求编制技术文件。</w:t>
      </w:r>
    </w:p>
    <w:p w14:paraId="17895B9F">
      <w:pPr>
        <w:bidi w:val="0"/>
        <w:rPr>
          <w:rFonts w:hint="eastAsia"/>
        </w:rPr>
      </w:pPr>
      <w:r>
        <w:rPr>
          <w:rFonts w:hint="eastAsia"/>
        </w:rPr>
        <w:t>一般性说明</w:t>
      </w:r>
    </w:p>
    <w:p w14:paraId="0B8CA30E">
      <w:pPr>
        <w:numPr>
          <w:ilvl w:val="0"/>
          <w:numId w:val="4"/>
        </w:numPr>
        <w:bidi w:val="0"/>
        <w:ind w:left="425" w:leftChars="0" w:hanging="425" w:firstLineChars="0"/>
        <w:rPr>
          <w:rFonts w:hint="eastAsia"/>
        </w:rPr>
      </w:pPr>
      <w:r>
        <w:rPr>
          <w:rFonts w:hint="eastAsia"/>
        </w:rPr>
        <w:t>报价截止时间前及评审过程中,报价人对报价文件所作的一切有效补充、修改文件，均被视为报价文件不可分割的部分；</w:t>
      </w:r>
    </w:p>
    <w:p w14:paraId="2D57FDB8">
      <w:pPr>
        <w:numPr>
          <w:ilvl w:val="0"/>
          <w:numId w:val="4"/>
        </w:numPr>
        <w:bidi w:val="0"/>
        <w:ind w:left="425" w:leftChars="0" w:hanging="425" w:firstLineChars="0"/>
        <w:rPr>
          <w:rFonts w:hint="eastAsia"/>
        </w:rPr>
      </w:pPr>
      <w:r>
        <w:rPr>
          <w:rFonts w:hint="eastAsia"/>
        </w:rPr>
        <w:t>报价文件与询价文件有差异之处，无论多么微小，商务部分和技术部分均应分别汇总说明，并填写商务、技术偏差表（格式见附录3、4）；</w:t>
      </w:r>
    </w:p>
    <w:p w14:paraId="23AD4713">
      <w:pPr>
        <w:numPr>
          <w:ilvl w:val="0"/>
          <w:numId w:val="4"/>
        </w:numPr>
        <w:bidi w:val="0"/>
        <w:ind w:left="425" w:leftChars="0" w:hanging="425" w:firstLineChars="0"/>
        <w:rPr>
          <w:rFonts w:hint="eastAsia"/>
        </w:rPr>
      </w:pPr>
      <w:r>
        <w:rPr>
          <w:rFonts w:hint="eastAsia"/>
        </w:rPr>
        <w:t>如果报价人没有按照询价文件的要求提交全部资料，或者提供的资料缺乏真实性，或者提交的资料没有对询价文件在各方面都做出实质性响应，可能导致其报价被拒绝，风险由报价人承担。</w:t>
      </w:r>
    </w:p>
    <w:p w14:paraId="498C6577">
      <w:pPr>
        <w:spacing w:line="360" w:lineRule="auto"/>
        <w:outlineLvl w:val="3"/>
        <w:rPr>
          <w:rFonts w:ascii="黑体" w:eastAsia="黑体"/>
          <w:color w:val="000000" w:themeColor="text1"/>
          <w:sz w:val="28"/>
          <w:szCs w:val="28"/>
          <w14:textFill>
            <w14:solidFill>
              <w14:schemeClr w14:val="tx1"/>
            </w14:solidFill>
          </w14:textFill>
        </w:rPr>
      </w:pPr>
      <w:bookmarkStart w:id="101" w:name="_Toc152045547"/>
      <w:bookmarkStart w:id="102" w:name="_Toc152042323"/>
      <w:bookmarkStart w:id="103" w:name="_Toc144974515"/>
      <w:bookmarkStart w:id="104" w:name="_Toc452121903"/>
      <w:bookmarkStart w:id="105" w:name="_Toc247085706"/>
      <w:bookmarkStart w:id="106" w:name="_Toc246996935"/>
      <w:bookmarkStart w:id="107" w:name="_Toc179632565"/>
      <w:bookmarkStart w:id="108" w:name="_Toc296602437"/>
      <w:bookmarkStart w:id="109" w:name="_Toc246996192"/>
      <w:r>
        <w:rPr>
          <w:rFonts w:hint="eastAsia" w:ascii="黑体" w:eastAsia="黑体"/>
          <w:color w:val="000000" w:themeColor="text1"/>
          <w:sz w:val="28"/>
          <w:szCs w:val="28"/>
          <w14:textFill>
            <w14:solidFill>
              <w14:schemeClr w14:val="tx1"/>
            </w14:solidFill>
          </w14:textFill>
        </w:rPr>
        <w:t>3.1 商务文件</w:t>
      </w:r>
      <w:bookmarkEnd w:id="101"/>
      <w:bookmarkEnd w:id="102"/>
      <w:bookmarkEnd w:id="103"/>
      <w:bookmarkEnd w:id="104"/>
      <w:bookmarkEnd w:id="105"/>
      <w:bookmarkEnd w:id="106"/>
      <w:bookmarkEnd w:id="107"/>
      <w:bookmarkEnd w:id="108"/>
      <w:bookmarkEnd w:id="109"/>
    </w:p>
    <w:p w14:paraId="2A1D5D99">
      <w:pPr>
        <w:tabs>
          <w:tab w:val="left" w:pos="993"/>
          <w:tab w:val="left" w:pos="1134"/>
        </w:tabs>
        <w:spacing w:line="360" w:lineRule="auto"/>
        <w:ind w:left="566"/>
        <w:rPr>
          <w:rFonts w:hint="eastAsia" w:asciiTheme="minorEastAsia" w:hAnsiTheme="minorEastAsia" w:eastAsiaTheme="minorEastAsia"/>
          <w:sz w:val="28"/>
          <w:szCs w:val="28"/>
        </w:rPr>
      </w:pPr>
      <w:r>
        <w:rPr>
          <w:rFonts w:hint="eastAsia" w:asciiTheme="minorEastAsia" w:hAnsiTheme="minorEastAsia" w:eastAsiaTheme="minorEastAsia"/>
          <w:color w:val="000000" w:themeColor="text1"/>
          <w:sz w:val="28"/>
          <w:szCs w:val="28"/>
          <w14:textFill>
            <w14:solidFill>
              <w14:schemeClr w14:val="tx1"/>
            </w14:solidFill>
          </w14:textFill>
        </w:rPr>
        <w:t>3.1.1 报价人资格、资信证明文件</w:t>
      </w:r>
    </w:p>
    <w:p w14:paraId="439C887B">
      <w:pPr>
        <w:numPr>
          <w:ilvl w:val="0"/>
          <w:numId w:val="5"/>
        </w:numPr>
        <w:bidi w:val="0"/>
        <w:ind w:left="425" w:leftChars="0" w:hanging="425" w:firstLineChars="0"/>
        <w:rPr>
          <w:rFonts w:hint="eastAsia"/>
        </w:rPr>
      </w:pPr>
      <w:r>
        <w:rPr>
          <w:rFonts w:hint="eastAsia"/>
        </w:rPr>
        <w:t>报价人授权书（格式见附录1）</w:t>
      </w:r>
    </w:p>
    <w:p w14:paraId="672C9E9D">
      <w:pPr>
        <w:numPr>
          <w:ilvl w:val="0"/>
          <w:numId w:val="5"/>
        </w:numPr>
        <w:bidi w:val="0"/>
        <w:ind w:left="425" w:leftChars="0" w:hanging="425" w:firstLineChars="0"/>
        <w:rPr>
          <w:rFonts w:hint="eastAsia"/>
        </w:rPr>
      </w:pPr>
      <w:r>
        <w:rPr>
          <w:rFonts w:hint="eastAsia"/>
        </w:rPr>
        <w:t>报价人承诺函（格式见附录2）</w:t>
      </w:r>
    </w:p>
    <w:p w14:paraId="35CDD543">
      <w:pPr>
        <w:numPr>
          <w:ilvl w:val="0"/>
          <w:numId w:val="5"/>
        </w:numPr>
        <w:bidi w:val="0"/>
        <w:ind w:left="425" w:leftChars="0" w:hanging="425" w:firstLineChars="0"/>
        <w:rPr>
          <w:rFonts w:hint="eastAsia"/>
        </w:rPr>
      </w:pPr>
      <w:r>
        <w:rPr>
          <w:rFonts w:hint="eastAsia"/>
        </w:rPr>
        <w:t>报价人营业执照扫描件；</w:t>
      </w:r>
    </w:p>
    <w:p w14:paraId="347B3838">
      <w:pPr>
        <w:numPr>
          <w:ilvl w:val="0"/>
          <w:numId w:val="5"/>
        </w:numPr>
        <w:bidi w:val="0"/>
        <w:ind w:left="425" w:leftChars="0" w:hanging="425" w:firstLineChars="0"/>
        <w:rPr>
          <w:rFonts w:hint="eastAsia"/>
        </w:rPr>
      </w:pPr>
      <w:r>
        <w:rPr>
          <w:rFonts w:hint="eastAsia"/>
        </w:rPr>
        <w:t>前附表要求</w:t>
      </w:r>
      <w:r>
        <w:t>提供</w:t>
      </w:r>
      <w:r>
        <w:rPr>
          <w:rFonts w:hint="eastAsia"/>
        </w:rPr>
        <w:t>的</w:t>
      </w:r>
      <w:r>
        <w:t>资质</w:t>
      </w:r>
      <w:r>
        <w:rPr>
          <w:rFonts w:hint="eastAsia"/>
        </w:rPr>
        <w:t>、业绩</w:t>
      </w:r>
      <w:r>
        <w:t>证明文件</w:t>
      </w:r>
    </w:p>
    <w:p w14:paraId="76287DC1">
      <w:pPr>
        <w:numPr>
          <w:ilvl w:val="0"/>
          <w:numId w:val="5"/>
        </w:numPr>
        <w:bidi w:val="0"/>
        <w:ind w:left="425" w:leftChars="0" w:hanging="425" w:firstLineChars="0"/>
        <w:rPr>
          <w:rFonts w:hint="eastAsia"/>
        </w:rPr>
      </w:pPr>
      <w:r>
        <w:rPr>
          <w:rFonts w:hint="eastAsia"/>
        </w:rPr>
        <w:t>商务</w:t>
      </w:r>
      <w:r>
        <w:t>差异表</w:t>
      </w:r>
      <w:r>
        <w:rPr>
          <w:rFonts w:hint="eastAsia"/>
        </w:rPr>
        <w:t>（若有）</w:t>
      </w:r>
    </w:p>
    <w:p w14:paraId="0A6D44E9">
      <w:pPr>
        <w:tabs>
          <w:tab w:val="left" w:pos="993"/>
          <w:tab w:val="left" w:pos="1134"/>
        </w:tabs>
        <w:spacing w:line="360" w:lineRule="auto"/>
        <w:ind w:left="426" w:firstLine="140" w:firstLineChars="50"/>
        <w:rPr>
          <w:rFonts w:hint="eastAsia" w:asciiTheme="minorEastAsia" w:hAnsiTheme="minorEastAsia" w:eastAsiaTheme="minorEastAsia"/>
          <w:sz w:val="28"/>
          <w:szCs w:val="28"/>
        </w:rPr>
      </w:pPr>
      <w:bookmarkStart w:id="110" w:name="_Toc452064997"/>
      <w:r>
        <w:rPr>
          <w:rFonts w:hint="eastAsia" w:asciiTheme="minorEastAsia" w:hAnsiTheme="minorEastAsia" w:eastAsiaTheme="minorEastAsia"/>
          <w:sz w:val="28"/>
          <w:szCs w:val="28"/>
        </w:rPr>
        <w:t>3.1.2作为</w:t>
      </w:r>
      <w:r>
        <w:rPr>
          <w:rFonts w:asciiTheme="minorEastAsia" w:hAnsiTheme="minorEastAsia" w:eastAsiaTheme="minorEastAsia"/>
          <w:sz w:val="28"/>
          <w:szCs w:val="28"/>
        </w:rPr>
        <w:t>打分项</w:t>
      </w:r>
      <w:r>
        <w:rPr>
          <w:rFonts w:hint="eastAsia" w:asciiTheme="minorEastAsia" w:hAnsiTheme="minorEastAsia" w:eastAsiaTheme="minorEastAsia"/>
          <w:sz w:val="28"/>
          <w:szCs w:val="28"/>
        </w:rPr>
        <w:t>，报价人可</w:t>
      </w:r>
      <w:r>
        <w:rPr>
          <w:rFonts w:asciiTheme="minorEastAsia" w:hAnsiTheme="minorEastAsia" w:eastAsiaTheme="minorEastAsia"/>
          <w:sz w:val="28"/>
          <w:szCs w:val="28"/>
        </w:rPr>
        <w:t>提供：</w:t>
      </w:r>
    </w:p>
    <w:p w14:paraId="5D7DFA3B">
      <w:pPr>
        <w:tabs>
          <w:tab w:val="left" w:pos="993"/>
          <w:tab w:val="left" w:pos="1134"/>
        </w:tabs>
        <w:spacing w:line="360" w:lineRule="auto"/>
        <w:ind w:left="426" w:firstLine="140" w:firstLineChars="50"/>
        <w:rPr>
          <w:rFonts w:hint="eastAsia"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无商务打分项</w:t>
      </w:r>
    </w:p>
    <w:p w14:paraId="407191C7">
      <w:pPr>
        <w:tabs>
          <w:tab w:val="left" w:pos="993"/>
          <w:tab w:val="left" w:pos="1134"/>
        </w:tabs>
        <w:spacing w:line="360" w:lineRule="auto"/>
        <w:ind w:left="426" w:firstLine="140" w:firstLineChars="5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3.1.3报价部分</w:t>
      </w:r>
      <w:bookmarkEnd w:id="110"/>
    </w:p>
    <w:p w14:paraId="5FF24F04">
      <w:pPr>
        <w:numPr>
          <w:ilvl w:val="0"/>
          <w:numId w:val="6"/>
        </w:numPr>
        <w:bidi w:val="0"/>
        <w:ind w:left="425" w:leftChars="0" w:hanging="425" w:firstLineChars="0"/>
        <w:rPr>
          <w:rFonts w:hint="eastAsia"/>
        </w:rPr>
      </w:pPr>
      <w:r>
        <w:rPr>
          <w:rFonts w:hint="eastAsia"/>
        </w:rPr>
        <w:t>报价人的报价应按“技术部分”规定的采购范围的项目和顺序，标明拟提供服务的固定不变单价、分项价和总价，报价人未单独列明的分项价格将被视为该项目的费用已包括在其他分项中，合同执行中不另行支付；</w:t>
      </w:r>
    </w:p>
    <w:p w14:paraId="6DCE307B">
      <w:pPr>
        <w:numPr>
          <w:ilvl w:val="0"/>
          <w:numId w:val="6"/>
        </w:numPr>
        <w:bidi w:val="0"/>
        <w:ind w:left="425" w:leftChars="0" w:hanging="425" w:firstLineChars="0"/>
        <w:rPr>
          <w:rFonts w:hint="eastAsia"/>
        </w:rPr>
      </w:pPr>
      <w:r>
        <w:rPr>
          <w:rFonts w:hint="eastAsia"/>
        </w:rPr>
        <w:t>报价人的报价应为在报价有效期内的固定不变价格；</w:t>
      </w:r>
    </w:p>
    <w:p w14:paraId="1A26CB55">
      <w:pPr>
        <w:numPr>
          <w:ilvl w:val="0"/>
          <w:numId w:val="6"/>
        </w:numPr>
        <w:bidi w:val="0"/>
        <w:ind w:left="425" w:leftChars="0" w:hanging="425" w:firstLineChars="0"/>
        <w:rPr>
          <w:rFonts w:hint="eastAsia"/>
        </w:rPr>
      </w:pPr>
      <w:r>
        <w:rPr>
          <w:rFonts w:hint="eastAsia"/>
        </w:rPr>
        <w:t>报价所使用的货币必须是人民币。</w:t>
      </w:r>
    </w:p>
    <w:p w14:paraId="5D533E0A">
      <w:pPr>
        <w:spacing w:line="360" w:lineRule="auto"/>
        <w:outlineLvl w:val="3"/>
        <w:rPr>
          <w:rFonts w:ascii="黑体" w:eastAsia="黑体"/>
          <w:color w:val="000000" w:themeColor="text1"/>
          <w:sz w:val="28"/>
          <w:szCs w:val="28"/>
          <w14:textFill>
            <w14:solidFill>
              <w14:schemeClr w14:val="tx1"/>
            </w14:solidFill>
          </w14:textFill>
        </w:rPr>
      </w:pPr>
      <w:bookmarkStart w:id="111" w:name="_Toc452121904"/>
      <w:bookmarkStart w:id="112" w:name="_Toc296602438"/>
      <w:bookmarkStart w:id="113" w:name="_Toc144974516"/>
      <w:bookmarkStart w:id="114" w:name="_Toc152042324"/>
      <w:bookmarkStart w:id="115" w:name="_Toc152045548"/>
      <w:bookmarkStart w:id="116" w:name="_Toc246996193"/>
      <w:bookmarkStart w:id="117" w:name="_Toc179632566"/>
      <w:bookmarkStart w:id="118" w:name="_Toc247085707"/>
      <w:bookmarkStart w:id="119" w:name="_Toc246996936"/>
      <w:r>
        <w:rPr>
          <w:rFonts w:hint="eastAsia" w:ascii="黑体" w:eastAsia="黑体"/>
          <w:color w:val="000000" w:themeColor="text1"/>
          <w:sz w:val="28"/>
          <w:szCs w:val="28"/>
          <w14:textFill>
            <w14:solidFill>
              <w14:schemeClr w14:val="tx1"/>
            </w14:solidFill>
          </w14:textFill>
        </w:rPr>
        <w:t>3.2 技术文件</w:t>
      </w:r>
      <w:bookmarkEnd w:id="111"/>
    </w:p>
    <w:p w14:paraId="5D7FEE62">
      <w:pPr>
        <w:bidi w:val="0"/>
        <w:rPr>
          <w:rFonts w:hint="eastAsia"/>
        </w:rPr>
      </w:pPr>
      <w:r>
        <w:rPr>
          <w:rFonts w:hint="eastAsia"/>
        </w:rPr>
        <w:t>除非询价文件另有规定，询价文件中的技术参数和性能保证值是采购人最低要求(即“技术门槛值”)，采购人有权拒绝低于技术门槛值的报价文件。</w:t>
      </w:r>
    </w:p>
    <w:p w14:paraId="0FE8FCE5">
      <w:pPr>
        <w:bidi w:val="0"/>
        <w:rPr>
          <w:rFonts w:hint="eastAsia"/>
        </w:rPr>
      </w:pPr>
      <w:r>
        <w:rPr>
          <w:rFonts w:hint="eastAsia"/>
        </w:rPr>
        <w:t>报价文件应提供第二卷技术部分中规定的所有资料，包括但不限于：</w:t>
      </w:r>
    </w:p>
    <w:bookmarkEnd w:id="112"/>
    <w:bookmarkEnd w:id="113"/>
    <w:bookmarkEnd w:id="114"/>
    <w:bookmarkEnd w:id="115"/>
    <w:bookmarkEnd w:id="116"/>
    <w:bookmarkEnd w:id="117"/>
    <w:bookmarkEnd w:id="118"/>
    <w:bookmarkEnd w:id="119"/>
    <w:p w14:paraId="783AA81E">
      <w:pPr>
        <w:numPr>
          <w:ilvl w:val="0"/>
          <w:numId w:val="7"/>
        </w:numPr>
        <w:bidi w:val="0"/>
        <w:ind w:left="425" w:leftChars="0" w:hanging="425" w:firstLineChars="0"/>
        <w:rPr>
          <w:rFonts w:hint="eastAsia"/>
        </w:rPr>
      </w:pPr>
      <w:bookmarkStart w:id="120" w:name="_Toc6839432"/>
      <w:bookmarkStart w:id="121" w:name="_Toc6830616"/>
      <w:r>
        <w:rPr>
          <w:rFonts w:hint="eastAsia"/>
        </w:rPr>
        <w:t>服务方案、项目实施方案；</w:t>
      </w:r>
    </w:p>
    <w:p w14:paraId="7D50794F">
      <w:pPr>
        <w:numPr>
          <w:ilvl w:val="0"/>
          <w:numId w:val="7"/>
        </w:numPr>
        <w:bidi w:val="0"/>
        <w:ind w:left="425" w:leftChars="0" w:hanging="425" w:firstLineChars="0"/>
        <w:rPr>
          <w:rFonts w:hint="eastAsia"/>
        </w:rPr>
      </w:pPr>
      <w:r>
        <w:rPr>
          <w:rFonts w:hint="eastAsia"/>
        </w:rPr>
        <w:t>报价产品（如涉及）的品牌、型号、配置、本身的详细的技术指标和参数（应当尽可能提供检测报告、产品使用说明书、用户手册等材料予以佐证）；</w:t>
      </w:r>
    </w:p>
    <w:p w14:paraId="134AD9FE">
      <w:pPr>
        <w:numPr>
          <w:ilvl w:val="0"/>
          <w:numId w:val="7"/>
        </w:numPr>
        <w:bidi w:val="0"/>
        <w:ind w:left="425" w:leftChars="0" w:hanging="425" w:firstLineChars="0"/>
        <w:rPr>
          <w:rFonts w:hint="eastAsia"/>
        </w:rPr>
      </w:pPr>
      <w:r>
        <w:rPr>
          <w:rFonts w:hint="eastAsia"/>
        </w:rPr>
        <w:t>服务和产品工作环境条件；</w:t>
      </w:r>
    </w:p>
    <w:p w14:paraId="3999965A">
      <w:pPr>
        <w:numPr>
          <w:ilvl w:val="0"/>
          <w:numId w:val="7"/>
        </w:numPr>
        <w:bidi w:val="0"/>
        <w:ind w:left="425" w:leftChars="0" w:hanging="425" w:firstLineChars="0"/>
        <w:rPr>
          <w:rFonts w:hint="eastAsia"/>
        </w:rPr>
      </w:pPr>
      <w:r>
        <w:rPr>
          <w:rFonts w:hint="eastAsia"/>
        </w:rPr>
        <w:t>人员配备；</w:t>
      </w:r>
    </w:p>
    <w:p w14:paraId="5429D38F">
      <w:pPr>
        <w:numPr>
          <w:ilvl w:val="0"/>
          <w:numId w:val="7"/>
        </w:numPr>
        <w:bidi w:val="0"/>
        <w:ind w:left="425" w:leftChars="0" w:hanging="425" w:firstLineChars="0"/>
        <w:rPr>
          <w:rFonts w:hint="eastAsia"/>
        </w:rPr>
      </w:pPr>
      <w:r>
        <w:rPr>
          <w:rFonts w:hint="eastAsia"/>
        </w:rPr>
        <w:t>服务分项表；</w:t>
      </w:r>
    </w:p>
    <w:p w14:paraId="63A5FF1F">
      <w:pPr>
        <w:numPr>
          <w:ilvl w:val="0"/>
          <w:numId w:val="7"/>
        </w:numPr>
        <w:bidi w:val="0"/>
        <w:ind w:left="425" w:leftChars="0" w:hanging="425" w:firstLineChars="0"/>
        <w:rPr>
          <w:rFonts w:hint="eastAsia"/>
        </w:rPr>
      </w:pPr>
      <w:r>
        <w:rPr>
          <w:rFonts w:hint="eastAsia"/>
        </w:rPr>
        <w:t>项目验收标准和验收方法；</w:t>
      </w:r>
    </w:p>
    <w:p w14:paraId="723930DC">
      <w:pPr>
        <w:numPr>
          <w:ilvl w:val="0"/>
          <w:numId w:val="7"/>
        </w:numPr>
        <w:bidi w:val="0"/>
        <w:ind w:left="425" w:leftChars="0" w:hanging="425" w:firstLineChars="0"/>
        <w:rPr>
          <w:rFonts w:hint="eastAsia"/>
        </w:rPr>
      </w:pPr>
      <w:r>
        <w:rPr>
          <w:rFonts w:hint="eastAsia"/>
        </w:rPr>
        <w:t>技术偏差表（格式见附录4）。</w:t>
      </w:r>
    </w:p>
    <w:p w14:paraId="171457A5">
      <w:pPr>
        <w:spacing w:line="360" w:lineRule="auto"/>
        <w:ind w:firstLine="425" w:firstLineChars="152"/>
        <w:jc w:val="left"/>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4.评审说明</w:t>
      </w:r>
      <w:bookmarkEnd w:id="120"/>
      <w:bookmarkEnd w:id="121"/>
    </w:p>
    <w:p w14:paraId="027301D4">
      <w:pPr>
        <w:spacing w:line="360" w:lineRule="auto"/>
        <w:outlineLvl w:val="3"/>
        <w:rPr>
          <w:rFonts w:ascii="黑体" w:eastAsia="黑体"/>
          <w:color w:val="000000" w:themeColor="text1"/>
          <w:sz w:val="28"/>
          <w:szCs w:val="28"/>
          <w14:textFill>
            <w14:solidFill>
              <w14:schemeClr w14:val="tx1"/>
            </w14:solidFill>
          </w14:textFill>
        </w:rPr>
      </w:pPr>
      <w:bookmarkStart w:id="122" w:name="_Toc246996950"/>
      <w:bookmarkStart w:id="123" w:name="_Toc247085721"/>
      <w:bookmarkStart w:id="124" w:name="_Toc296602452"/>
      <w:bookmarkStart w:id="125" w:name="_Toc179632581"/>
      <w:bookmarkStart w:id="126" w:name="_Toc152045563"/>
      <w:bookmarkStart w:id="127" w:name="_Toc144974531"/>
      <w:bookmarkStart w:id="128" w:name="_Toc152042339"/>
      <w:bookmarkStart w:id="129" w:name="_Toc246996207"/>
      <w:bookmarkStart w:id="130" w:name="_Toc452121906"/>
      <w:r>
        <w:rPr>
          <w:rFonts w:hint="eastAsia" w:ascii="黑体" w:eastAsia="黑体"/>
          <w:color w:val="000000" w:themeColor="text1"/>
          <w:sz w:val="28"/>
          <w:szCs w:val="28"/>
          <w14:textFill>
            <w14:solidFill>
              <w14:schemeClr w14:val="tx1"/>
            </w14:solidFill>
          </w14:textFill>
        </w:rPr>
        <w:t xml:space="preserve">4.1 </w:t>
      </w:r>
      <w:bookmarkEnd w:id="122"/>
      <w:bookmarkEnd w:id="123"/>
      <w:bookmarkEnd w:id="124"/>
      <w:bookmarkEnd w:id="125"/>
      <w:bookmarkEnd w:id="126"/>
      <w:bookmarkEnd w:id="127"/>
      <w:bookmarkEnd w:id="128"/>
      <w:bookmarkEnd w:id="129"/>
      <w:r>
        <w:rPr>
          <w:rFonts w:hint="eastAsia" w:ascii="黑体" w:eastAsia="黑体"/>
          <w:color w:val="000000" w:themeColor="text1"/>
          <w:sz w:val="28"/>
          <w:szCs w:val="28"/>
          <w14:textFill>
            <w14:solidFill>
              <w14:schemeClr w14:val="tx1"/>
            </w14:solidFill>
          </w14:textFill>
        </w:rPr>
        <w:t>评审小组</w:t>
      </w:r>
      <w:bookmarkEnd w:id="130"/>
    </w:p>
    <w:p w14:paraId="1119CDED">
      <w:pPr>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评审小组由采购人、采购机构组成。</w:t>
      </w:r>
    </w:p>
    <w:p w14:paraId="25FDC183">
      <w:pPr>
        <w:spacing w:line="360" w:lineRule="auto"/>
        <w:outlineLvl w:val="3"/>
        <w:rPr>
          <w:rFonts w:ascii="黑体" w:eastAsia="黑体"/>
          <w:color w:val="000000" w:themeColor="text1"/>
          <w:sz w:val="28"/>
          <w:szCs w:val="28"/>
          <w14:textFill>
            <w14:solidFill>
              <w14:schemeClr w14:val="tx1"/>
            </w14:solidFill>
          </w14:textFill>
        </w:rPr>
      </w:pPr>
      <w:bookmarkStart w:id="131" w:name="_Toc451013271"/>
      <w:bookmarkStart w:id="132" w:name="_Toc452121907"/>
      <w:bookmarkStart w:id="133" w:name="_Toc152042340"/>
      <w:bookmarkStart w:id="134" w:name="_Toc246996951"/>
      <w:bookmarkStart w:id="135" w:name="_Toc246996208"/>
      <w:bookmarkStart w:id="136" w:name="_Toc152045564"/>
      <w:bookmarkStart w:id="137" w:name="_Toc144974532"/>
      <w:bookmarkStart w:id="138" w:name="_Toc296602453"/>
      <w:bookmarkStart w:id="139" w:name="_Toc179632582"/>
      <w:bookmarkStart w:id="140" w:name="_Toc247085722"/>
      <w:r>
        <w:rPr>
          <w:rFonts w:hint="eastAsia" w:ascii="黑体" w:eastAsia="黑体"/>
          <w:color w:val="000000" w:themeColor="text1"/>
          <w:sz w:val="28"/>
          <w:szCs w:val="28"/>
          <w14:textFill>
            <w14:solidFill>
              <w14:schemeClr w14:val="tx1"/>
            </w14:solidFill>
          </w14:textFill>
        </w:rPr>
        <w:t>4.2 评审原则</w:t>
      </w:r>
      <w:bookmarkEnd w:id="131"/>
      <w:bookmarkEnd w:id="132"/>
    </w:p>
    <w:bookmarkEnd w:id="133"/>
    <w:bookmarkEnd w:id="134"/>
    <w:bookmarkEnd w:id="135"/>
    <w:bookmarkEnd w:id="136"/>
    <w:bookmarkEnd w:id="137"/>
    <w:bookmarkEnd w:id="138"/>
    <w:bookmarkEnd w:id="139"/>
    <w:bookmarkEnd w:id="140"/>
    <w:p w14:paraId="12F582DA">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4.2.1评审将遵循公平、公正、科学、择优的原则对所有报价人的报价文件进行评估。</w:t>
      </w:r>
    </w:p>
    <w:p w14:paraId="6FA9AAE0">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4.2.2评审按照询价文件的规定的要求、条件、评审因素进行。</w:t>
      </w:r>
    </w:p>
    <w:p w14:paraId="5B0D50BB">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4.2.3报价文件应实质上响应询价文件的要求，不得有显著的差异或保留。报价人如对询价文件的某些条款、条件和规定持有异议或保留，应明确提出依据和对应的建议，评审小组将根据其合理程度予以评价。</w:t>
      </w:r>
    </w:p>
    <w:p w14:paraId="28DEEB6E">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4.2.4对于第一次挂网项目：若递交报价文件的报价人不少于三家，进入评审环节，否则该项目将进行重新询价；</w:t>
      </w:r>
    </w:p>
    <w:p w14:paraId="0AFA981B">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对于重新挂网项目：若递交报价文件的报价人不少于二家，进入评审环节，否则该项目将采取其它采购方式或重新询价。</w:t>
      </w:r>
    </w:p>
    <w:p w14:paraId="4AA9FFAD">
      <w:pPr>
        <w:spacing w:line="360" w:lineRule="auto"/>
        <w:outlineLvl w:val="3"/>
        <w:rPr>
          <w:rFonts w:ascii="黑体" w:eastAsia="黑体"/>
          <w:color w:val="000000" w:themeColor="text1"/>
          <w:sz w:val="28"/>
          <w:szCs w:val="28"/>
          <w14:textFill>
            <w14:solidFill>
              <w14:schemeClr w14:val="tx1"/>
            </w14:solidFill>
          </w14:textFill>
        </w:rPr>
      </w:pPr>
      <w:bookmarkStart w:id="141" w:name="_Toc452121908"/>
      <w:r>
        <w:rPr>
          <w:rFonts w:hint="eastAsia" w:ascii="黑体" w:eastAsia="黑体"/>
          <w:color w:val="000000" w:themeColor="text1"/>
          <w:sz w:val="28"/>
          <w:szCs w:val="28"/>
          <w14:textFill>
            <w14:solidFill>
              <w14:schemeClr w14:val="tx1"/>
            </w14:solidFill>
          </w14:textFill>
        </w:rPr>
        <w:t>4.3 评审澄清</w:t>
      </w:r>
      <w:bookmarkEnd w:id="141"/>
    </w:p>
    <w:p w14:paraId="76C26EB4">
      <w:pPr>
        <w:adjustRightInd w:val="0"/>
        <w:snapToGri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4.3.1 评审小组对报价文件中不满足询价文件要求、不清楚、不明确之处进行专门标注和记录，整理出需要报价人澄清的问题。</w:t>
      </w:r>
    </w:p>
    <w:p w14:paraId="1C1DEDF2">
      <w:pPr>
        <w:adjustRightInd w:val="0"/>
        <w:snapToGrid w:val="0"/>
        <w:spacing w:line="360" w:lineRule="auto"/>
        <w:ind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4.3.2评审小组可针对报价文件中含义不明确或前后说法不一或明显笔误的内容要求报价人澄清。报价人应将书面答复签字/盖章后</w:t>
      </w:r>
      <w:r>
        <w:rPr>
          <w:rFonts w:hint="eastAsia" w:ascii="宋体" w:hAnsi="宋体"/>
          <w:color w:val="000000" w:themeColor="text1"/>
          <w:sz w:val="28"/>
          <w:szCs w:val="28"/>
          <w:lang w:val="en-US" w:eastAsia="zh-CN"/>
          <w14:textFill>
            <w14:solidFill>
              <w14:schemeClr w14:val="tx1"/>
            </w14:solidFill>
          </w14:textFill>
        </w:rPr>
        <w:t>发送至指定邮箱</w:t>
      </w:r>
      <w:r>
        <w:rPr>
          <w:rFonts w:hint="eastAsia" w:ascii="宋体" w:hAnsi="宋体"/>
          <w:color w:val="000000" w:themeColor="text1"/>
          <w:sz w:val="28"/>
          <w:szCs w:val="28"/>
          <w14:textFill>
            <w14:solidFill>
              <w14:schemeClr w14:val="tx1"/>
            </w14:solidFill>
          </w14:textFill>
        </w:rPr>
        <w:t>。</w:t>
      </w:r>
    </w:p>
    <w:p w14:paraId="433E2ED0">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4.3.3 澄清文件作为报价文件的有效的补充,报价人不得超出原报价文件的范围或对原报价文件内容作实质性修改。</w:t>
      </w:r>
    </w:p>
    <w:p w14:paraId="4396A97E">
      <w:pPr>
        <w:tabs>
          <w:tab w:val="left" w:pos="0"/>
          <w:tab w:val="decimal" w:pos="6240"/>
          <w:tab w:val="right" w:leader="dot" w:pos="10800"/>
        </w:tabs>
        <w:snapToGrid w:val="0"/>
        <w:spacing w:line="360" w:lineRule="auto"/>
        <w:ind w:right="28" w:rightChars="10" w:firstLine="565" w:firstLineChars="202"/>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4.3.4评审小组不接受报价人的主动澄清。</w:t>
      </w:r>
    </w:p>
    <w:bookmarkEnd w:id="24"/>
    <w:bookmarkEnd w:id="25"/>
    <w:bookmarkEnd w:id="26"/>
    <w:p w14:paraId="2DD02C46">
      <w:pPr>
        <w:adjustRightInd w:val="0"/>
        <w:snapToGrid w:val="0"/>
        <w:spacing w:line="560" w:lineRule="exact"/>
        <w:jc w:val="left"/>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4.</w:t>
      </w:r>
      <w:bookmarkStart w:id="142" w:name="_Toc450160299"/>
      <w:r>
        <w:rPr>
          <w:rFonts w:hint="eastAsia" w:ascii="宋体" w:hAnsi="宋体"/>
          <w:b/>
          <w:color w:val="000000" w:themeColor="text1"/>
          <w:sz w:val="28"/>
          <w:szCs w:val="28"/>
          <w:lang w:val="en-US" w:eastAsia="zh-CN"/>
          <w14:textFill>
            <w14:solidFill>
              <w14:schemeClr w14:val="tx1"/>
            </w14:solidFill>
          </w14:textFill>
        </w:rPr>
        <w:t>4</w:t>
      </w:r>
      <w:r>
        <w:rPr>
          <w:rFonts w:hint="eastAsia" w:ascii="宋体" w:hAnsi="宋体"/>
          <w:b/>
          <w:color w:val="000000" w:themeColor="text1"/>
          <w:sz w:val="28"/>
          <w:szCs w:val="28"/>
          <w14:textFill>
            <w14:solidFill>
              <w14:schemeClr w14:val="tx1"/>
            </w14:solidFill>
          </w14:textFill>
        </w:rPr>
        <w:t xml:space="preserve"> 无效报价文件</w:t>
      </w:r>
    </w:p>
    <w:p w14:paraId="263F340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发生下列情况之一者，评审小组有权视其为无效报价文件</w:t>
      </w:r>
      <w:bookmarkEnd w:id="142"/>
      <w:r>
        <w:rPr>
          <w:rFonts w:hint="eastAsia" w:asciiTheme="minorEastAsia" w:hAnsiTheme="minorEastAsia" w:eastAsiaTheme="minorEastAsia"/>
          <w:color w:val="000000" w:themeColor="text1"/>
          <w:sz w:val="28"/>
          <w:szCs w:val="28"/>
          <w14:textFill>
            <w14:solidFill>
              <w14:schemeClr w14:val="tx1"/>
            </w14:solidFill>
          </w14:textFill>
        </w:rPr>
        <w:t>：</w:t>
      </w:r>
    </w:p>
    <w:p w14:paraId="61BBA5AA">
      <w:pPr>
        <w:numPr>
          <w:ilvl w:val="0"/>
          <w:numId w:val="8"/>
        </w:numPr>
        <w:bidi w:val="0"/>
        <w:ind w:left="425" w:leftChars="0" w:hanging="425" w:firstLineChars="0"/>
      </w:pPr>
      <w:r>
        <w:t>报价文件的授权书或承诺函未加盖公司公章的；</w:t>
      </w:r>
    </w:p>
    <w:p w14:paraId="76CF62A4">
      <w:pPr>
        <w:numPr>
          <w:ilvl w:val="0"/>
          <w:numId w:val="8"/>
        </w:numPr>
        <w:bidi w:val="0"/>
        <w:ind w:left="425" w:leftChars="0" w:hanging="425" w:firstLineChars="0"/>
      </w:pPr>
      <w:r>
        <w:t>报价人名称与报价文件中报价人名称不一致的；</w:t>
      </w:r>
    </w:p>
    <w:p w14:paraId="0D081F66">
      <w:pPr>
        <w:numPr>
          <w:ilvl w:val="0"/>
          <w:numId w:val="8"/>
        </w:numPr>
        <w:bidi w:val="0"/>
        <w:ind w:left="425" w:leftChars="0" w:hanging="425" w:firstLineChars="0"/>
      </w:pPr>
      <w:r>
        <w:t xml:space="preserve">报价文件没有按照询价文件规定的格式编写或填写，内容不全或关键字迹模糊、无法辨认的或未按规定的格式签署、标记和错装的； </w:t>
      </w:r>
    </w:p>
    <w:p w14:paraId="0BA93C3D">
      <w:pPr>
        <w:numPr>
          <w:ilvl w:val="0"/>
          <w:numId w:val="8"/>
        </w:numPr>
        <w:bidi w:val="0"/>
        <w:ind w:left="425" w:leftChars="0" w:hanging="425" w:firstLineChars="0"/>
      </w:pPr>
      <w:r>
        <w:t>报价人递交两份或多份内容不同的报价文件，或在一份报价文件中对同一询价标的物报有两个或多个报价，且未声明哪一个为最终报价的，但按询价文件规定提交备选报价方案的除外；</w:t>
      </w:r>
    </w:p>
    <w:p w14:paraId="76789BC4">
      <w:pPr>
        <w:numPr>
          <w:ilvl w:val="0"/>
          <w:numId w:val="8"/>
        </w:numPr>
        <w:bidi w:val="0"/>
        <w:ind w:left="425" w:leftChars="0" w:hanging="425" w:firstLineChars="0"/>
      </w:pPr>
      <w:r>
        <w:t>报价人不符合国家或者询价文件规定的合格报价人资格条件；</w:t>
      </w:r>
    </w:p>
    <w:p w14:paraId="0BFCA378">
      <w:pPr>
        <w:numPr>
          <w:ilvl w:val="0"/>
          <w:numId w:val="8"/>
        </w:numPr>
        <w:bidi w:val="0"/>
        <w:ind w:left="425" w:leftChars="0" w:hanging="425" w:firstLineChars="0"/>
      </w:pPr>
      <w:r>
        <w:t>报价有效期不满足询价文件的规定；</w:t>
      </w:r>
    </w:p>
    <w:p w14:paraId="7617F068">
      <w:pPr>
        <w:numPr>
          <w:ilvl w:val="0"/>
          <w:numId w:val="8"/>
        </w:numPr>
        <w:bidi w:val="0"/>
        <w:ind w:left="425" w:leftChars="0" w:hanging="425" w:firstLineChars="0"/>
      </w:pPr>
      <w:r>
        <w:t>报价人没有对询价文件的实质性要求和条件（包括合同中的实质性条款）作出响应的；</w:t>
      </w:r>
    </w:p>
    <w:p w14:paraId="0F6EC05E">
      <w:pPr>
        <w:numPr>
          <w:ilvl w:val="0"/>
          <w:numId w:val="8"/>
        </w:numPr>
        <w:bidi w:val="0"/>
        <w:ind w:left="425" w:leftChars="0" w:hanging="425" w:firstLineChars="0"/>
      </w:pPr>
      <w:r>
        <w:t>服务期严重偏离询价文件的规定；</w:t>
      </w:r>
    </w:p>
    <w:p w14:paraId="26D68FEC">
      <w:pPr>
        <w:numPr>
          <w:ilvl w:val="0"/>
          <w:numId w:val="8"/>
        </w:numPr>
        <w:bidi w:val="0"/>
        <w:ind w:left="425" w:leftChars="0" w:hanging="425" w:firstLineChars="0"/>
      </w:pPr>
      <w:r>
        <w:t xml:space="preserve">报价文件中的主要工艺流程、技术规格、技术标准严重偏离询价文件的规定或没有对性能保证值和/或带星号（“☆”）的技术参数提供技术支持资料（技术采购文件要求提供的）；     </w:t>
      </w:r>
    </w:p>
    <w:p w14:paraId="105C05F0">
      <w:pPr>
        <w:numPr>
          <w:ilvl w:val="0"/>
          <w:numId w:val="8"/>
        </w:numPr>
        <w:bidi w:val="0"/>
        <w:ind w:left="425" w:leftChars="0" w:hanging="425" w:firstLineChars="0"/>
      </w:pPr>
      <w:r>
        <w:t>报价人的报价不是固定不变价格；</w:t>
      </w:r>
    </w:p>
    <w:p w14:paraId="355C7A51">
      <w:pPr>
        <w:numPr>
          <w:ilvl w:val="0"/>
          <w:numId w:val="8"/>
        </w:numPr>
        <w:bidi w:val="0"/>
        <w:ind w:left="425" w:leftChars="0" w:hanging="425" w:firstLineChars="0"/>
      </w:pPr>
      <w:r>
        <w:t>报价文件缺乏真实性或其内容与询价文件有严重背离；</w:t>
      </w:r>
    </w:p>
    <w:p w14:paraId="37CD3CC2">
      <w:pPr>
        <w:numPr>
          <w:ilvl w:val="0"/>
          <w:numId w:val="8"/>
        </w:numPr>
        <w:bidi w:val="0"/>
        <w:ind w:left="425" w:leftChars="0" w:hanging="425" w:firstLineChars="0"/>
      </w:pPr>
      <w:r>
        <w:t>报价价格低于成本价（经澄清，报价人不能合理说明或者不能提供相应证明材料的）或高于发布的最高限价的；</w:t>
      </w:r>
    </w:p>
    <w:p w14:paraId="57A0B551">
      <w:pPr>
        <w:numPr>
          <w:ilvl w:val="0"/>
          <w:numId w:val="8"/>
        </w:numPr>
        <w:bidi w:val="0"/>
        <w:ind w:left="425" w:leftChars="0" w:hanging="425" w:firstLineChars="0"/>
      </w:pPr>
      <w:r>
        <w:t>报价人无正当理由不按照要求对报价文件进行澄清、说明或者补正的；</w:t>
      </w:r>
    </w:p>
    <w:p w14:paraId="4B58D245">
      <w:pPr>
        <w:numPr>
          <w:ilvl w:val="0"/>
          <w:numId w:val="8"/>
        </w:numPr>
        <w:bidi w:val="0"/>
        <w:ind w:left="425" w:leftChars="0" w:hanging="425" w:firstLineChars="0"/>
      </w:pPr>
      <w:r>
        <w:t>报价人有以他人的名义参加询价采购活动、串通其他报价人、弄虚作假、行贿等违法行为；</w:t>
      </w:r>
    </w:p>
    <w:p w14:paraId="298785D9">
      <w:pPr>
        <w:numPr>
          <w:ilvl w:val="0"/>
          <w:numId w:val="8"/>
        </w:numPr>
        <w:bidi w:val="0"/>
        <w:ind w:left="425" w:leftChars="0" w:hanging="425" w:firstLineChars="0"/>
      </w:pPr>
      <w:r>
        <w:t>报价人发生合并、分立、破产等重大变化不再具备询价文件规定的资格条件或者其报价影响询价公正性的；</w:t>
      </w:r>
    </w:p>
    <w:p w14:paraId="4F269512">
      <w:pPr>
        <w:numPr>
          <w:ilvl w:val="0"/>
          <w:numId w:val="8"/>
        </w:numPr>
        <w:bidi w:val="0"/>
        <w:ind w:left="425" w:leftChars="0" w:hanging="425" w:firstLineChars="0"/>
      </w:pPr>
      <w:r>
        <w:t>报价文件有本章中已经明确界定为其报价为无效报价文件或将被拒绝的其他情况；</w:t>
      </w:r>
    </w:p>
    <w:p w14:paraId="1631B912">
      <w:pPr>
        <w:numPr>
          <w:ilvl w:val="0"/>
          <w:numId w:val="8"/>
        </w:numPr>
        <w:bidi w:val="0"/>
        <w:ind w:left="425" w:leftChars="0" w:hanging="425" w:firstLineChars="0"/>
      </w:pPr>
      <w:r>
        <w:t>被列为国家能源集团失信供应商的</w:t>
      </w:r>
      <w:r>
        <w:rPr>
          <w:rFonts w:hint="default"/>
        </w:rPr>
        <w:t>。</w:t>
      </w:r>
    </w:p>
    <w:p w14:paraId="0C959FBD">
      <w:pPr>
        <w:spacing w:line="560" w:lineRule="exact"/>
        <w:outlineLvl w:val="3"/>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4.</w:t>
      </w:r>
      <w:r>
        <w:rPr>
          <w:rFonts w:hint="eastAsia" w:ascii="黑体" w:eastAsia="黑体"/>
          <w:color w:val="000000" w:themeColor="text1"/>
          <w:sz w:val="28"/>
          <w:szCs w:val="28"/>
          <w:lang w:val="en-US" w:eastAsia="zh-CN"/>
          <w14:textFill>
            <w14:solidFill>
              <w14:schemeClr w14:val="tx1"/>
            </w14:solidFill>
          </w14:textFill>
        </w:rPr>
        <w:t>5</w:t>
      </w:r>
      <w:r>
        <w:rPr>
          <w:rFonts w:hint="eastAsia" w:ascii="黑体" w:eastAsia="黑体"/>
          <w:color w:val="000000" w:themeColor="text1"/>
          <w:sz w:val="28"/>
          <w:szCs w:val="28"/>
          <w14:textFill>
            <w14:solidFill>
              <w14:schemeClr w14:val="tx1"/>
            </w14:solidFill>
          </w14:textFill>
        </w:rPr>
        <w:t xml:space="preserve"> 调价说明</w:t>
      </w:r>
    </w:p>
    <w:p w14:paraId="631DD1FA">
      <w:pPr>
        <w:bidi w:val="0"/>
        <w:rPr>
          <w:rFonts w:hint="eastAsia"/>
        </w:rPr>
      </w:pPr>
      <w:bookmarkStart w:id="143" w:name="_Toc452121911"/>
      <w:r>
        <w:rPr>
          <w:rFonts w:hint="eastAsia"/>
        </w:rPr>
        <w:t>若报价表中的单价和总价有差异，以单价为准（</w:t>
      </w:r>
      <w:r>
        <w:t>但单价金额小数点有明显错误的除外</w:t>
      </w:r>
      <w:r>
        <w:rPr>
          <w:rFonts w:hint="eastAsia"/>
        </w:rPr>
        <w:t>），并对总价进行数字修正；若小写和大写表示的金额有差异，以大写金额为准。</w:t>
      </w:r>
    </w:p>
    <w:p w14:paraId="0A0D4621">
      <w:pPr>
        <w:bidi w:val="0"/>
        <w:rPr>
          <w:rFonts w:hint="eastAsia"/>
        </w:rPr>
      </w:pPr>
      <w:r>
        <w:rPr>
          <w:rFonts w:hint="eastAsia"/>
        </w:rPr>
        <w:t>若报价表漏报、少报的，评审小组按采购文件要求向报价人发送澄清，确定总报价中是否包含漏报、少报部分。总报价中包含的，按合格报价处理；否则，按无效报价处理。</w:t>
      </w:r>
    </w:p>
    <w:p w14:paraId="3A481F74">
      <w:pPr>
        <w:bidi w:val="0"/>
        <w:rPr>
          <w:rFonts w:hint="eastAsia"/>
        </w:rPr>
      </w:pPr>
      <w:r>
        <w:rPr>
          <w:rFonts w:hint="eastAsia"/>
        </w:rPr>
        <w:t>若报价表多报的，评审价格不予核减。</w:t>
      </w:r>
    </w:p>
    <w:p w14:paraId="7BEB7935">
      <w:pPr>
        <w:bidi w:val="0"/>
        <w:rPr>
          <w:rFonts w:hint="eastAsia"/>
        </w:rPr>
      </w:pPr>
      <w:r>
        <w:rPr>
          <w:rFonts w:hint="eastAsia"/>
        </w:rPr>
        <w:t>若报价汇总表中未填写增值税专用发票税率，则报价人的报价税率默认为响应采购文件规定的税率；若报价汇总表中填写的税率与采购文件规定的税率不一致，则报价人的评审价格按采购文件规定的税率进行调整（调整公式为：评审价格=修正后的汇总表报价/（1+报价文件税率）*（1+采购文件税率））。</w:t>
      </w:r>
    </w:p>
    <w:p w14:paraId="1395DED1">
      <w:pPr>
        <w:spacing w:line="560" w:lineRule="exact"/>
        <w:outlineLvl w:val="2"/>
        <w:rPr>
          <w:rFonts w:ascii="黑体" w:eastAsia="黑体"/>
          <w:color w:val="000000" w:themeColor="text1"/>
          <w:sz w:val="28"/>
          <w:szCs w:val="28"/>
          <w14:textFill>
            <w14:solidFill>
              <w14:schemeClr w14:val="tx1"/>
            </w14:solidFill>
          </w14:textFill>
        </w:rPr>
      </w:pPr>
      <w:bookmarkStart w:id="144" w:name="_Toc6839433"/>
      <w:bookmarkStart w:id="145" w:name="_Toc6933780"/>
      <w:bookmarkStart w:id="146" w:name="_Toc7350285"/>
      <w:bookmarkStart w:id="147" w:name="_Toc6830617"/>
      <w:r>
        <w:rPr>
          <w:rFonts w:hint="eastAsia" w:ascii="黑体" w:eastAsia="黑体"/>
          <w:color w:val="000000" w:themeColor="text1"/>
          <w:sz w:val="28"/>
          <w:szCs w:val="28"/>
          <w14:textFill>
            <w14:solidFill>
              <w14:schemeClr w14:val="tx1"/>
            </w14:solidFill>
          </w14:textFill>
        </w:rPr>
        <w:t>5.</w:t>
      </w:r>
      <w:bookmarkEnd w:id="143"/>
      <w:r>
        <w:rPr>
          <w:rFonts w:hint="eastAsia" w:ascii="黑体" w:eastAsia="黑体"/>
          <w:color w:val="000000" w:themeColor="text1"/>
          <w:sz w:val="28"/>
          <w:szCs w:val="28"/>
          <w14:textFill>
            <w14:solidFill>
              <w14:schemeClr w14:val="tx1"/>
            </w14:solidFill>
          </w14:textFill>
        </w:rPr>
        <w:t>廉洁警示</w:t>
      </w:r>
      <w:bookmarkEnd w:id="144"/>
      <w:bookmarkEnd w:id="145"/>
      <w:bookmarkEnd w:id="146"/>
      <w:bookmarkEnd w:id="147"/>
    </w:p>
    <w:p w14:paraId="7791B570">
      <w:pPr>
        <w:bidi w:val="0"/>
        <w:rPr>
          <w:rFonts w:hint="eastAsia"/>
        </w:rPr>
      </w:pPr>
      <w:r>
        <w:rPr>
          <w:rFonts w:hint="eastAsia"/>
        </w:rPr>
        <w:t>5.1采购人、报价人等参与的各方，均应在项目采购、合同执行等过程中保持廉洁的道德水准。</w:t>
      </w:r>
    </w:p>
    <w:p w14:paraId="2BEA8EC3">
      <w:pPr>
        <w:bidi w:val="0"/>
        <w:rPr>
          <w:rFonts w:hint="eastAsia"/>
        </w:rPr>
      </w:pPr>
      <w:r>
        <w:rPr>
          <w:rFonts w:hint="eastAsia"/>
        </w:rPr>
        <w:t>5.2 如果被推荐的供应商有腐败和欺诈行为，将取消其资格。</w:t>
      </w:r>
    </w:p>
    <w:p w14:paraId="60739918">
      <w:pPr>
        <w:bidi w:val="0"/>
        <w:rPr>
          <w:rFonts w:hint="eastAsia"/>
        </w:rPr>
      </w:pPr>
      <w:r>
        <w:rPr>
          <w:rFonts w:hint="eastAsia"/>
        </w:rPr>
        <w:t>5.3 如果报价人在任何时候，被中国国家有关部门认定为有腐败和欺诈行为，将被宣布在一个不定期的时间内不得参与相关项目的报价或被授予合同。</w:t>
      </w:r>
    </w:p>
    <w:p w14:paraId="4DC507C8">
      <w:pPr>
        <w:spacing w:line="560" w:lineRule="exact"/>
        <w:outlineLvl w:val="2"/>
        <w:rPr>
          <w:rFonts w:ascii="黑体" w:eastAsia="黑体"/>
          <w:color w:val="000000" w:themeColor="text1"/>
          <w:sz w:val="28"/>
          <w:szCs w:val="28"/>
          <w14:textFill>
            <w14:solidFill>
              <w14:schemeClr w14:val="tx1"/>
            </w14:solidFill>
          </w14:textFill>
        </w:rPr>
      </w:pPr>
      <w:bookmarkStart w:id="148" w:name="_Toc452121912"/>
      <w:bookmarkStart w:id="149" w:name="_Toc6839434"/>
      <w:bookmarkStart w:id="150" w:name="_Toc7350286"/>
      <w:bookmarkStart w:id="151" w:name="_Toc6933781"/>
      <w:bookmarkStart w:id="152" w:name="_Toc6830618"/>
      <w:r>
        <w:rPr>
          <w:rFonts w:hint="eastAsia" w:ascii="黑体" w:eastAsia="黑体"/>
          <w:color w:val="000000" w:themeColor="text1"/>
          <w:sz w:val="28"/>
          <w:szCs w:val="28"/>
          <w14:textFill>
            <w14:solidFill>
              <w14:schemeClr w14:val="tx1"/>
            </w14:solidFill>
          </w14:textFill>
        </w:rPr>
        <w:t>6.合同签订</w:t>
      </w:r>
      <w:bookmarkEnd w:id="148"/>
      <w:bookmarkEnd w:id="149"/>
      <w:bookmarkEnd w:id="150"/>
      <w:bookmarkEnd w:id="151"/>
      <w:bookmarkEnd w:id="152"/>
    </w:p>
    <w:p w14:paraId="1AC86A3C">
      <w:pPr>
        <w:bidi w:val="0"/>
        <w:rPr>
          <w:rFonts w:hint="eastAsia"/>
        </w:rPr>
      </w:pPr>
      <w:r>
        <w:rPr>
          <w:rFonts w:hint="eastAsia"/>
        </w:rPr>
        <w:t>6.1评审小组完成询价采购情况的书面报告，经相应管理机构批准后，由采购机构通过</w:t>
      </w:r>
      <w:r>
        <w:rPr>
          <w:rFonts w:hint="eastAsia"/>
          <w:lang w:val="en-US" w:eastAsia="zh-CN"/>
        </w:rPr>
        <w:t>报价邮箱向</w:t>
      </w:r>
      <w:r>
        <w:rPr>
          <w:rFonts w:hint="eastAsia"/>
        </w:rPr>
        <w:t>成交供应商发出成交通知。成交通知作为合同的一个组成部分，对采购人和成交供应商均具有法律约束力。</w:t>
      </w:r>
    </w:p>
    <w:p w14:paraId="15A04CD3">
      <w:pPr>
        <w:bidi w:val="0"/>
        <w:rPr>
          <w:rFonts w:hint="eastAsia"/>
        </w:rPr>
      </w:pPr>
      <w:r>
        <w:rPr>
          <w:rFonts w:hint="eastAsia"/>
        </w:rPr>
        <w:t>6.2成交通知发出后，成交供应商放弃成交项目的，应当依法承担法律责任。</w:t>
      </w:r>
    </w:p>
    <w:p w14:paraId="780CD336">
      <w:pPr>
        <w:spacing w:line="360" w:lineRule="auto"/>
        <w:outlineLvl w:val="1"/>
        <w:rPr>
          <w:rFonts w:ascii="黑体" w:eastAsia="黑体"/>
          <w:color w:val="000000" w:themeColor="text1"/>
          <w:sz w:val="28"/>
          <w:szCs w:val="28"/>
          <w14:textFill>
            <w14:solidFill>
              <w14:schemeClr w14:val="tx1"/>
            </w14:solidFill>
          </w14:textFill>
        </w:rPr>
        <w:sectPr>
          <w:footerReference r:id="rId7" w:type="first"/>
          <w:pgSz w:w="11907" w:h="16839"/>
          <w:pgMar w:top="1418" w:right="1418" w:bottom="1418" w:left="1418" w:header="765" w:footer="1020" w:gutter="0"/>
          <w:cols w:space="708" w:num="1"/>
          <w:titlePg/>
          <w:docGrid w:linePitch="360" w:charSpace="0"/>
        </w:sectPr>
      </w:pPr>
    </w:p>
    <w:p w14:paraId="197C898E">
      <w:pPr>
        <w:pStyle w:val="3"/>
        <w:numPr>
          <w:ilvl w:val="1"/>
          <w:numId w:val="2"/>
        </w:numPr>
        <w:bidi w:val="0"/>
        <w:ind w:firstLine="0"/>
        <w:rPr>
          <w:rFonts w:hint="eastAsia" w:ascii="Times New Roman" w:hAnsi="Times New Roman" w:eastAsia="仿宋"/>
        </w:rPr>
      </w:pPr>
      <w:bookmarkStart w:id="153" w:name="_Toc7350287"/>
      <w:bookmarkStart w:id="154" w:name="_Toc6933782"/>
      <w:bookmarkStart w:id="155" w:name="_Toc6839435"/>
      <w:bookmarkStart w:id="156" w:name="_Toc6830619"/>
      <w:r>
        <w:rPr>
          <w:rFonts w:hint="eastAsia" w:ascii="Times New Roman" w:hAnsi="Times New Roman" w:eastAsia="仿宋"/>
        </w:rPr>
        <w:t>报价格式</w:t>
      </w:r>
      <w:bookmarkEnd w:id="153"/>
      <w:bookmarkEnd w:id="154"/>
      <w:bookmarkEnd w:id="155"/>
      <w:bookmarkEnd w:id="156"/>
    </w:p>
    <w:bookmarkEnd w:id="0"/>
    <w:p w14:paraId="59B5C11C">
      <w:pPr>
        <w:spacing w:line="360" w:lineRule="auto"/>
        <w:jc w:val="center"/>
        <w:outlineLvl w:val="2"/>
        <w:rPr>
          <w:rFonts w:ascii="黑体" w:eastAsia="黑体"/>
          <w:color w:val="000000" w:themeColor="text1"/>
          <w:sz w:val="28"/>
          <w:szCs w:val="28"/>
          <w14:textFill>
            <w14:solidFill>
              <w14:schemeClr w14:val="tx1"/>
            </w14:solidFill>
          </w14:textFill>
        </w:rPr>
      </w:pPr>
      <w:bookmarkStart w:id="157" w:name="_Toc6933783"/>
      <w:bookmarkStart w:id="158" w:name="_Toc6830620"/>
      <w:bookmarkStart w:id="159" w:name="_Toc6839436"/>
      <w:bookmarkStart w:id="160" w:name="_Toc7350288"/>
      <w:bookmarkStart w:id="161" w:name="_Toc144974835"/>
      <w:bookmarkStart w:id="162" w:name="_Toc246997084"/>
      <w:bookmarkStart w:id="163" w:name="_Toc152045773"/>
      <w:bookmarkStart w:id="164" w:name="_Toc247085856"/>
      <w:bookmarkStart w:id="165" w:name="_Toc152042555"/>
      <w:bookmarkStart w:id="166" w:name="_Toc452067991"/>
      <w:bookmarkStart w:id="167" w:name="_Toc246996341"/>
      <w:bookmarkStart w:id="168" w:name="_Toc179632790"/>
      <w:bookmarkStart w:id="169" w:name="_Toc296602588"/>
      <w:r>
        <w:rPr>
          <w:rFonts w:hint="eastAsia" w:ascii="黑体" w:eastAsia="黑体"/>
          <w:color w:val="000000" w:themeColor="text1"/>
          <w:sz w:val="28"/>
          <w:szCs w:val="28"/>
          <w14:textFill>
            <w14:solidFill>
              <w14:schemeClr w14:val="tx1"/>
            </w14:solidFill>
          </w14:textFill>
        </w:rPr>
        <w:t>一般性说明</w:t>
      </w:r>
      <w:bookmarkEnd w:id="157"/>
      <w:bookmarkEnd w:id="158"/>
      <w:bookmarkEnd w:id="159"/>
      <w:bookmarkEnd w:id="160"/>
    </w:p>
    <w:p w14:paraId="2CBE35AD">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报价表由报价汇总表和</w:t>
      </w:r>
      <w:r>
        <w:rPr>
          <w:rFonts w:hint="eastAsia" w:asciiTheme="minorEastAsia" w:hAnsiTheme="minorEastAsia" w:eastAsiaTheme="minorEastAsia"/>
          <w:color w:val="000000" w:themeColor="text1"/>
          <w:sz w:val="28"/>
          <w:szCs w:val="28"/>
          <w14:textFill>
            <w14:solidFill>
              <w14:schemeClr w14:val="tx1"/>
            </w14:solidFill>
          </w14:textFill>
        </w:rPr>
        <w:t>人员配备表、分项价格表</w:t>
      </w:r>
      <w:r>
        <w:rPr>
          <w:rFonts w:hint="eastAsia" w:ascii="宋体" w:hAnsi="宋体"/>
          <w:color w:val="000000" w:themeColor="text1"/>
          <w:sz w:val="28"/>
          <w:szCs w:val="28"/>
          <w14:textFill>
            <w14:solidFill>
              <w14:schemeClr w14:val="tx1"/>
            </w14:solidFill>
          </w14:textFill>
        </w:rPr>
        <w:t>构成，如需专业信息表可单独编制。</w:t>
      </w:r>
    </w:p>
    <w:p w14:paraId="181DF3E9">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分项价格表一般未对所提供的</w:t>
      </w:r>
      <w:r>
        <w:rPr>
          <w:rFonts w:hint="eastAsia" w:asciiTheme="minorEastAsia" w:hAnsiTheme="minorEastAsia" w:eastAsiaTheme="minorEastAsia"/>
          <w:color w:val="000000" w:themeColor="text1"/>
          <w:sz w:val="28"/>
          <w:szCs w:val="28"/>
          <w14:textFill>
            <w14:solidFill>
              <w14:schemeClr w14:val="tx1"/>
            </w14:solidFill>
          </w14:textFill>
        </w:rPr>
        <w:t>分部分项</w:t>
      </w:r>
      <w:r>
        <w:rPr>
          <w:rFonts w:hint="eastAsia" w:ascii="宋体" w:hAnsi="宋体"/>
          <w:color w:val="000000" w:themeColor="text1"/>
          <w:sz w:val="28"/>
          <w:szCs w:val="28"/>
          <w14:textFill>
            <w14:solidFill>
              <w14:schemeClr w14:val="tx1"/>
            </w14:solidFill>
          </w14:textFill>
        </w:rPr>
        <w:t>和每一项下的服务进行详细的描述，报价人应被认为在填报单价和价格之前，已经阅读了询价文件，特别是技术部分，并审查了所有图纸，以确保要求的所有范围已被包含在每一个项目内。报出的单价和价格应被认为还包含所有隐含的内容，以及包含管理费和利润。</w:t>
      </w:r>
    </w:p>
    <w:p w14:paraId="5022DEC0">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对于每个项目，报价人应填写每一表格中的合适的栏目，并给出这些表中指明的价格细目。价格表中相对应每个项目的价格应包含技术规范、图纸或询价文件其他部分对该项目的所有详细要求。</w:t>
      </w:r>
    </w:p>
    <w:p w14:paraId="64C852ED">
      <w:pPr>
        <w:numPr>
          <w:ilvl w:val="0"/>
          <w:numId w:val="9"/>
        </w:numPr>
        <w:tabs>
          <w:tab w:val="left" w:pos="1134"/>
        </w:tabs>
        <w:spacing w:line="360" w:lineRule="auto"/>
        <w:ind w:left="0" w:firstLine="560" w:firstLineChars="200"/>
        <w:jc w:val="lef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未填单价的项目应被认为已包括在其他项目中。不论每个分项目是否标价，各分项价格表中的总金额及报价汇总表中总金额应被认为是按询价文件规定实施全部工作的总费用。</w:t>
      </w:r>
    </w:p>
    <w:p w14:paraId="2D0F4709">
      <w:pPr>
        <w:pStyle w:val="33"/>
        <w:numPr>
          <w:ilvl w:val="0"/>
          <w:numId w:val="10"/>
        </w:numPr>
        <w:spacing w:line="360" w:lineRule="auto"/>
        <w:ind w:left="357" w:hanging="357" w:firstLineChars="0"/>
        <w:jc w:val="left"/>
        <w:outlineLvl w:val="2"/>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p w14:paraId="5E124BF8">
      <w:pPr>
        <w:pStyle w:val="33"/>
        <w:numPr>
          <w:ilvl w:val="0"/>
          <w:numId w:val="10"/>
        </w:numPr>
        <w:spacing w:line="360" w:lineRule="auto"/>
        <w:ind w:left="357" w:hanging="357" w:firstLineChars="0"/>
        <w:jc w:val="left"/>
        <w:outlineLvl w:val="2"/>
        <w:rPr>
          <w:rFonts w:ascii="黑体" w:eastAsia="黑体"/>
          <w:color w:val="000000" w:themeColor="text1"/>
          <w:sz w:val="28"/>
          <w:szCs w:val="28"/>
          <w14:textFill>
            <w14:solidFill>
              <w14:schemeClr w14:val="tx1"/>
            </w14:solidFill>
          </w14:textFill>
        </w:rPr>
      </w:pPr>
      <w:bookmarkStart w:id="170" w:name="_Toc6933784"/>
      <w:bookmarkStart w:id="171" w:name="_Toc6830621"/>
      <w:bookmarkStart w:id="172" w:name="_Toc7350289"/>
      <w:bookmarkStart w:id="173" w:name="_Toc6839437"/>
      <w:r>
        <w:rPr>
          <w:rFonts w:hint="eastAsia" w:ascii="黑体" w:eastAsia="黑体"/>
          <w:color w:val="000000" w:themeColor="text1"/>
          <w:sz w:val="28"/>
          <w:szCs w:val="28"/>
          <w14:textFill>
            <w14:solidFill>
              <w14:schemeClr w14:val="tx1"/>
            </w14:solidFill>
          </w14:textFill>
        </w:rPr>
        <w:t>报价汇总表</w:t>
      </w:r>
      <w:bookmarkEnd w:id="170"/>
      <w:bookmarkEnd w:id="171"/>
      <w:bookmarkEnd w:id="172"/>
      <w:bookmarkEnd w:id="173"/>
    </w:p>
    <w:tbl>
      <w:tblPr>
        <w:tblStyle w:val="17"/>
        <w:tblpPr w:leftFromText="180" w:rightFromText="180" w:vertAnchor="text" w:horzAnchor="margin" w:tblpX="182" w:tblpY="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2834"/>
        <w:gridCol w:w="2693"/>
      </w:tblGrid>
      <w:tr w14:paraId="26E2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3403" w:type="dxa"/>
            <w:vMerge w:val="restart"/>
            <w:vAlign w:val="center"/>
          </w:tcPr>
          <w:p w14:paraId="7EF953B7">
            <w:pPr>
              <w:spacing w:line="360" w:lineRule="auto"/>
              <w:jc w:val="center"/>
              <w:rPr>
                <w:rFonts w:ascii="宋体"/>
                <w:color w:val="000000" w:themeColor="text1"/>
                <w:sz w:val="24"/>
                <w14:textFill>
                  <w14:solidFill>
                    <w14:schemeClr w14:val="tx1"/>
                  </w14:solidFill>
                </w14:textFill>
              </w:rPr>
            </w:pPr>
            <w:bookmarkStart w:id="174" w:name="_Toc246997092"/>
            <w:bookmarkStart w:id="175" w:name="_Toc179632798"/>
            <w:bookmarkStart w:id="176" w:name="_Toc247085864"/>
            <w:bookmarkStart w:id="177" w:name="_Toc296602595"/>
            <w:bookmarkStart w:id="178" w:name="_Toc246996349"/>
            <w:r>
              <w:rPr>
                <w:rFonts w:hint="eastAsia" w:ascii="宋体" w:cs="宋体"/>
                <w:color w:val="000000" w:themeColor="text1"/>
                <w:kern w:val="0"/>
                <w:sz w:val="24"/>
                <w:lang w:val="zh-CN"/>
                <w14:textFill>
                  <w14:solidFill>
                    <w14:schemeClr w14:val="tx1"/>
                  </w14:solidFill>
                </w14:textFill>
              </w:rPr>
              <w:t>报价人</w:t>
            </w:r>
            <w:r>
              <w:rPr>
                <w:rFonts w:hint="eastAsia" w:ascii="宋体" w:hAnsi="宋体"/>
                <w:color w:val="000000" w:themeColor="text1"/>
                <w:sz w:val="24"/>
                <w14:textFill>
                  <w14:solidFill>
                    <w14:schemeClr w14:val="tx1"/>
                  </w14:solidFill>
                </w14:textFill>
              </w:rPr>
              <w:t>名称</w:t>
            </w:r>
          </w:p>
        </w:tc>
        <w:tc>
          <w:tcPr>
            <w:tcW w:w="5527" w:type="dxa"/>
            <w:gridSpan w:val="2"/>
            <w:vAlign w:val="center"/>
          </w:tcPr>
          <w:p w14:paraId="3E0D7F87">
            <w:pPr>
              <w:spacing w:line="360" w:lineRule="auto"/>
              <w:jc w:val="center"/>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总报价（</w:t>
            </w:r>
            <w:r>
              <w:rPr>
                <w:rFonts w:hint="eastAsia" w:ascii="宋体" w:hAnsi="宋体"/>
                <w:b/>
                <w:color w:val="000000" w:themeColor="text1"/>
                <w:sz w:val="24"/>
                <w14:textFill>
                  <w14:solidFill>
                    <w14:schemeClr w14:val="tx1"/>
                  </w14:solidFill>
                </w14:textFill>
              </w:rPr>
              <w:t>元</w:t>
            </w:r>
            <w:r>
              <w:rPr>
                <w:rFonts w:hint="eastAsia" w:ascii="宋体" w:hAnsi="宋体"/>
                <w:color w:val="000000" w:themeColor="text1"/>
                <w:sz w:val="24"/>
                <w14:textFill>
                  <w14:solidFill>
                    <w14:schemeClr w14:val="tx1"/>
                  </w14:solidFill>
                </w14:textFill>
              </w:rPr>
              <w:t>人民币）</w:t>
            </w:r>
          </w:p>
        </w:tc>
      </w:tr>
      <w:tr w14:paraId="1221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403" w:type="dxa"/>
            <w:vMerge w:val="continue"/>
            <w:vAlign w:val="center"/>
          </w:tcPr>
          <w:p w14:paraId="4F1F2F6E">
            <w:pPr>
              <w:spacing w:line="360" w:lineRule="auto"/>
              <w:jc w:val="left"/>
              <w:rPr>
                <w:rFonts w:ascii="宋体"/>
                <w:color w:val="000000" w:themeColor="text1"/>
                <w:sz w:val="24"/>
                <w14:textFill>
                  <w14:solidFill>
                    <w14:schemeClr w14:val="tx1"/>
                  </w14:solidFill>
                </w14:textFill>
              </w:rPr>
            </w:pPr>
          </w:p>
        </w:tc>
        <w:tc>
          <w:tcPr>
            <w:tcW w:w="2834" w:type="dxa"/>
            <w:vAlign w:val="center"/>
          </w:tcPr>
          <w:p w14:paraId="7A6B6341">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小写</w:t>
            </w:r>
          </w:p>
        </w:tc>
        <w:tc>
          <w:tcPr>
            <w:tcW w:w="2693" w:type="dxa"/>
            <w:vAlign w:val="center"/>
          </w:tcPr>
          <w:p w14:paraId="04CB9BB8">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大写</w:t>
            </w:r>
          </w:p>
        </w:tc>
      </w:tr>
      <w:tr w14:paraId="1FF8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3403" w:type="dxa"/>
            <w:vAlign w:val="center"/>
          </w:tcPr>
          <w:p w14:paraId="2D0E409A">
            <w:pPr>
              <w:spacing w:line="360" w:lineRule="auto"/>
              <w:jc w:val="left"/>
              <w:rPr>
                <w:rFonts w:ascii="宋体"/>
                <w:color w:val="000000" w:themeColor="text1"/>
                <w:sz w:val="24"/>
                <w14:textFill>
                  <w14:solidFill>
                    <w14:schemeClr w14:val="tx1"/>
                  </w14:solidFill>
                </w14:textFill>
              </w:rPr>
            </w:pPr>
          </w:p>
        </w:tc>
        <w:tc>
          <w:tcPr>
            <w:tcW w:w="2834" w:type="dxa"/>
            <w:vAlign w:val="center"/>
          </w:tcPr>
          <w:p w14:paraId="16D117C2">
            <w:pPr>
              <w:spacing w:line="360" w:lineRule="auto"/>
              <w:jc w:val="center"/>
              <w:rPr>
                <w:rFonts w:ascii="宋体"/>
                <w:color w:val="000000" w:themeColor="text1"/>
                <w:sz w:val="24"/>
                <w14:textFill>
                  <w14:solidFill>
                    <w14:schemeClr w14:val="tx1"/>
                  </w14:solidFill>
                </w14:textFill>
              </w:rPr>
            </w:pPr>
          </w:p>
        </w:tc>
        <w:tc>
          <w:tcPr>
            <w:tcW w:w="2693" w:type="dxa"/>
            <w:vAlign w:val="center"/>
          </w:tcPr>
          <w:p w14:paraId="6E892FB6">
            <w:pPr>
              <w:spacing w:line="360" w:lineRule="auto"/>
              <w:jc w:val="center"/>
              <w:rPr>
                <w:rFonts w:ascii="宋体"/>
                <w:color w:val="000000" w:themeColor="text1"/>
                <w:sz w:val="24"/>
                <w14:textFill>
                  <w14:solidFill>
                    <w14:schemeClr w14:val="tx1"/>
                  </w14:solidFill>
                </w14:textFill>
              </w:rPr>
            </w:pPr>
          </w:p>
        </w:tc>
      </w:tr>
      <w:tr w14:paraId="0B16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3403" w:type="dxa"/>
            <w:vAlign w:val="center"/>
          </w:tcPr>
          <w:p w14:paraId="130F0CFE">
            <w:pPr>
              <w:spacing w:line="360" w:lineRule="auto"/>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增值税专用发票税率：</w:t>
            </w:r>
          </w:p>
        </w:tc>
        <w:tc>
          <w:tcPr>
            <w:tcW w:w="5527" w:type="dxa"/>
            <w:gridSpan w:val="2"/>
            <w:vAlign w:val="center"/>
          </w:tcPr>
          <w:p w14:paraId="4372182E">
            <w:pPr>
              <w:spacing w:line="360" w:lineRule="auto"/>
              <w:rPr>
                <w:rFonts w:ascii="宋体"/>
                <w:color w:val="000000" w:themeColor="text1"/>
                <w:sz w:val="24"/>
                <w14:textFill>
                  <w14:solidFill>
                    <w14:schemeClr w14:val="tx1"/>
                  </w14:solidFill>
                </w14:textFill>
              </w:rPr>
            </w:pPr>
          </w:p>
        </w:tc>
      </w:tr>
    </w:tbl>
    <w:p w14:paraId="7A5873AA">
      <w:pPr>
        <w:snapToGrid w:val="0"/>
        <w:spacing w:line="360" w:lineRule="auto"/>
        <w:jc w:val="left"/>
        <w:rPr>
          <w:rFonts w:hint="eastAsia" w:hAnsi="宋体"/>
          <w:color w:val="000000" w:themeColor="text1"/>
          <w:sz w:val="24"/>
          <w14:textFill>
            <w14:solidFill>
              <w14:schemeClr w14:val="tx1"/>
            </w14:solidFill>
          </w14:textFill>
        </w:rPr>
      </w:pPr>
    </w:p>
    <w:p w14:paraId="2E5A35DF">
      <w:pPr>
        <w:snapToGrid w:val="0"/>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55D18241">
      <w:pPr>
        <w:snapToGrid w:val="0"/>
        <w:spacing w:line="360" w:lineRule="auto"/>
        <w:ind w:firstLine="560"/>
        <w:jc w:val="left"/>
        <w:rPr>
          <w:rFonts w:hint="eastAsia" w:ascii="Times New Roman" w:hAnsi="宋体" w:eastAsia="仿宋"/>
          <w:color w:val="000000" w:themeColor="text1"/>
          <w:sz w:val="24"/>
          <w14:textFill>
            <w14:solidFill>
              <w14:schemeClr w14:val="tx1"/>
            </w14:solidFill>
          </w14:textFill>
        </w:rPr>
      </w:pPr>
      <w:r>
        <w:rPr>
          <w:rFonts w:hint="eastAsia" w:ascii="Times New Roman" w:hAnsi="宋体" w:eastAsia="仿宋"/>
          <w:color w:val="000000" w:themeColor="text1"/>
          <w:sz w:val="24"/>
          <w14:textFill>
            <w14:solidFill>
              <w14:schemeClr w14:val="tx1"/>
            </w14:solidFill>
          </w14:textFill>
        </w:rPr>
        <w:t>1. 此报价在有效期内固定不变。</w:t>
      </w:r>
    </w:p>
    <w:p w14:paraId="617ED413">
      <w:pPr>
        <w:snapToGrid w:val="0"/>
        <w:spacing w:line="360" w:lineRule="auto"/>
        <w:ind w:firstLine="560"/>
        <w:jc w:val="left"/>
        <w:rPr>
          <w:rFonts w:hint="eastAsia" w:ascii="Times New Roman" w:hAnsi="宋体" w:eastAsia="仿宋"/>
          <w:color w:val="000000" w:themeColor="text1"/>
          <w:sz w:val="24"/>
          <w14:textFill>
            <w14:solidFill>
              <w14:schemeClr w14:val="tx1"/>
            </w14:solidFill>
          </w14:textFill>
        </w:rPr>
      </w:pPr>
      <w:r>
        <w:rPr>
          <w:rFonts w:hint="eastAsia" w:ascii="Times New Roman" w:hAnsi="宋体" w:eastAsia="仿宋"/>
          <w:color w:val="000000" w:themeColor="text1"/>
          <w:sz w:val="24"/>
          <w14:textFill>
            <w14:solidFill>
              <w14:schemeClr w14:val="tx1"/>
            </w14:solidFill>
          </w14:textFill>
        </w:rPr>
        <w:t>2. 本价格包括报价人应承担的所有工作、义务及风险的费用、专用技术使用费、技术转让或技术支持费、合同设备（含备品备件、专用工具）费、包装费、技术资料、技术服务、税费、运杂费、利润、不可预见费等。</w:t>
      </w:r>
    </w:p>
    <w:p w14:paraId="599ABC49">
      <w:pPr>
        <w:snapToGrid w:val="0"/>
        <w:spacing w:line="360" w:lineRule="auto"/>
        <w:jc w:val="left"/>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 若报价人为小规模纳税人，则</w:t>
      </w:r>
      <w:r>
        <w:rPr>
          <w:rFonts w:hint="eastAsia" w:ascii="宋体"/>
          <w:color w:val="000000" w:themeColor="text1"/>
          <w:sz w:val="24"/>
          <w14:textFill>
            <w14:solidFill>
              <w14:schemeClr w14:val="tx1"/>
            </w14:solidFill>
          </w14:textFill>
        </w:rPr>
        <w:t>增值税专用发票税率填写自开或税务部门代开的税率。</w:t>
      </w:r>
    </w:p>
    <w:bookmarkEnd w:id="174"/>
    <w:bookmarkEnd w:id="175"/>
    <w:bookmarkEnd w:id="176"/>
    <w:bookmarkEnd w:id="177"/>
    <w:bookmarkEnd w:id="178"/>
    <w:p w14:paraId="20361F21">
      <w:pPr>
        <w:pStyle w:val="33"/>
        <w:spacing w:line="360" w:lineRule="auto"/>
        <w:ind w:left="357" w:firstLine="0" w:firstLineChars="0"/>
        <w:jc w:val="left"/>
        <w:rPr>
          <w:rFonts w:ascii="黑体" w:eastAsia="黑体"/>
          <w:color w:val="000000" w:themeColor="text1"/>
          <w:sz w:val="28"/>
          <w:szCs w:val="28"/>
          <w14:textFill>
            <w14:solidFill>
              <w14:schemeClr w14:val="tx1"/>
            </w14:solidFill>
          </w14:textFill>
        </w:rPr>
      </w:pPr>
    </w:p>
    <w:p w14:paraId="2B1BF76D">
      <w:pPr>
        <w:pStyle w:val="33"/>
        <w:numPr>
          <w:ilvl w:val="0"/>
          <w:numId w:val="10"/>
        </w:numPr>
        <w:spacing w:line="360" w:lineRule="auto"/>
        <w:ind w:left="357" w:hanging="357" w:firstLineChars="0"/>
        <w:jc w:val="left"/>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bookmarkEnd w:id="161"/>
    <w:bookmarkEnd w:id="162"/>
    <w:bookmarkEnd w:id="163"/>
    <w:bookmarkEnd w:id="164"/>
    <w:bookmarkEnd w:id="165"/>
    <w:bookmarkEnd w:id="166"/>
    <w:bookmarkEnd w:id="167"/>
    <w:bookmarkEnd w:id="168"/>
    <w:bookmarkEnd w:id="169"/>
    <w:p w14:paraId="6FA06C50">
      <w:pPr>
        <w:pStyle w:val="33"/>
        <w:numPr>
          <w:ilvl w:val="0"/>
          <w:numId w:val="10"/>
        </w:numPr>
        <w:tabs>
          <w:tab w:val="left" w:pos="0"/>
          <w:tab w:val="decimal" w:pos="6240"/>
          <w:tab w:val="right" w:leader="dot" w:pos="10800"/>
        </w:tabs>
        <w:autoSpaceDE w:val="0"/>
        <w:autoSpaceDN w:val="0"/>
        <w:adjustRightInd w:val="0"/>
        <w:spacing w:line="360" w:lineRule="auto"/>
        <w:ind w:left="284" w:right="-82" w:firstLineChars="0"/>
        <w:outlineLvl w:val="2"/>
        <w:rPr>
          <w:rFonts w:ascii="宋体" w:cs="宋体"/>
          <w:color w:val="000000" w:themeColor="text1"/>
          <w:kern w:val="0"/>
          <w:sz w:val="28"/>
          <w:szCs w:val="28"/>
          <w:lang w:val="zh-CN"/>
          <w14:textFill>
            <w14:solidFill>
              <w14:schemeClr w14:val="tx1"/>
            </w14:solidFill>
          </w14:textFill>
        </w:rPr>
      </w:pPr>
      <w:bookmarkStart w:id="179" w:name="_Toc6933785"/>
      <w:bookmarkStart w:id="180" w:name="_Toc7350290"/>
      <w:bookmarkStart w:id="181" w:name="_Toc6830623"/>
      <w:r>
        <w:rPr>
          <w:rFonts w:hint="eastAsia" w:ascii="黑体" w:eastAsia="黑体"/>
          <w:color w:val="000000" w:themeColor="text1"/>
          <w:sz w:val="28"/>
          <w:szCs w:val="28"/>
          <w14:textFill>
            <w14:solidFill>
              <w14:schemeClr w14:val="tx1"/>
            </w14:solidFill>
          </w14:textFill>
        </w:rPr>
        <w:t>人员配备表</w:t>
      </w:r>
      <w:bookmarkEnd w:id="179"/>
      <w:bookmarkEnd w:id="180"/>
      <w:r>
        <w:rPr>
          <w:rFonts w:ascii="宋体" w:cs="宋体"/>
          <w:color w:val="000000" w:themeColor="text1"/>
          <w:kern w:val="0"/>
          <w:sz w:val="24"/>
          <w:lang w:val="zh-CN"/>
          <w14:textFill>
            <w14:solidFill>
              <w14:schemeClr w14:val="tx1"/>
            </w14:solidFill>
          </w14:textFill>
        </w:rPr>
        <w:t xml:space="preserve">                                      </w:t>
      </w:r>
      <w:r>
        <w:rPr>
          <w:rFonts w:hint="eastAsia" w:ascii="宋体" w:cs="宋体"/>
          <w:color w:val="000000" w:themeColor="text1"/>
          <w:kern w:val="0"/>
          <w:sz w:val="24"/>
          <w:lang w:val="zh-CN"/>
          <w14:textFill>
            <w14:solidFill>
              <w14:schemeClr w14:val="tx1"/>
            </w14:solidFill>
          </w14:textFill>
        </w:rPr>
        <w:t xml:space="preserve">    </w:t>
      </w:r>
    </w:p>
    <w:tbl>
      <w:tblPr>
        <w:tblStyle w:val="17"/>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992"/>
        <w:gridCol w:w="1036"/>
        <w:gridCol w:w="1188"/>
        <w:gridCol w:w="806"/>
        <w:gridCol w:w="1108"/>
        <w:gridCol w:w="786"/>
        <w:gridCol w:w="864"/>
        <w:gridCol w:w="1527"/>
      </w:tblGrid>
      <w:tr w14:paraId="694A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19" w:type="dxa"/>
            <w:vMerge w:val="restart"/>
            <w:vAlign w:val="center"/>
          </w:tcPr>
          <w:p w14:paraId="786833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拟在本项目担任职务</w:t>
            </w:r>
          </w:p>
        </w:tc>
        <w:tc>
          <w:tcPr>
            <w:tcW w:w="992" w:type="dxa"/>
            <w:vMerge w:val="restart"/>
            <w:vAlign w:val="center"/>
          </w:tcPr>
          <w:p w14:paraId="507E02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姓名</w:t>
            </w:r>
          </w:p>
        </w:tc>
        <w:tc>
          <w:tcPr>
            <w:tcW w:w="1036" w:type="dxa"/>
            <w:vMerge w:val="restart"/>
            <w:vAlign w:val="center"/>
          </w:tcPr>
          <w:p w14:paraId="0D21AC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职称</w:t>
            </w:r>
          </w:p>
        </w:tc>
        <w:tc>
          <w:tcPr>
            <w:tcW w:w="3888" w:type="dxa"/>
            <w:gridSpan w:val="4"/>
            <w:vAlign w:val="center"/>
          </w:tcPr>
          <w:p w14:paraId="5FD713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执业或职业资格证</w:t>
            </w:r>
          </w:p>
        </w:tc>
        <w:tc>
          <w:tcPr>
            <w:tcW w:w="2391" w:type="dxa"/>
            <w:gridSpan w:val="2"/>
            <w:vAlign w:val="center"/>
          </w:tcPr>
          <w:p w14:paraId="590329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已承担类似服务情况</w:t>
            </w:r>
          </w:p>
        </w:tc>
      </w:tr>
      <w:tr w14:paraId="100D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19" w:type="dxa"/>
            <w:vMerge w:val="continue"/>
            <w:vAlign w:val="center"/>
          </w:tcPr>
          <w:p w14:paraId="6F3D6D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Merge w:val="continue"/>
            <w:vAlign w:val="center"/>
          </w:tcPr>
          <w:p w14:paraId="229E7B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Merge w:val="continue"/>
            <w:vAlign w:val="center"/>
          </w:tcPr>
          <w:p w14:paraId="34EEF9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4EF3BE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证书</w:t>
            </w:r>
          </w:p>
          <w:p w14:paraId="77E483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名称</w:t>
            </w:r>
          </w:p>
        </w:tc>
        <w:tc>
          <w:tcPr>
            <w:tcW w:w="806" w:type="dxa"/>
            <w:vAlign w:val="center"/>
          </w:tcPr>
          <w:p w14:paraId="14957F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级别</w:t>
            </w:r>
          </w:p>
        </w:tc>
        <w:tc>
          <w:tcPr>
            <w:tcW w:w="1108" w:type="dxa"/>
            <w:vAlign w:val="center"/>
          </w:tcPr>
          <w:p w14:paraId="464EB4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证号</w:t>
            </w:r>
          </w:p>
        </w:tc>
        <w:tc>
          <w:tcPr>
            <w:tcW w:w="786" w:type="dxa"/>
            <w:vAlign w:val="center"/>
          </w:tcPr>
          <w:p w14:paraId="5481EB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专业</w:t>
            </w:r>
          </w:p>
        </w:tc>
        <w:tc>
          <w:tcPr>
            <w:tcW w:w="864" w:type="dxa"/>
            <w:vAlign w:val="center"/>
          </w:tcPr>
          <w:p w14:paraId="1731CA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项目数</w:t>
            </w:r>
          </w:p>
        </w:tc>
        <w:tc>
          <w:tcPr>
            <w:tcW w:w="1527" w:type="dxa"/>
            <w:vAlign w:val="center"/>
          </w:tcPr>
          <w:p w14:paraId="6C3388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主要项目名称</w:t>
            </w:r>
          </w:p>
        </w:tc>
      </w:tr>
      <w:tr w14:paraId="258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7CCFC6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49FE3D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399B17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0DE8FD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3E3ED4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0B5AA6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2FA065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376410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14D7601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r w14:paraId="3E8B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609A62C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1DCBDE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311E2B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6D69D5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101D41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4D641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12D8C0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206E55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43D431E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r w14:paraId="2876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9" w:type="dxa"/>
            <w:vAlign w:val="center"/>
          </w:tcPr>
          <w:p w14:paraId="7BB7C7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992" w:type="dxa"/>
            <w:vAlign w:val="center"/>
          </w:tcPr>
          <w:p w14:paraId="54768B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036" w:type="dxa"/>
            <w:vAlign w:val="center"/>
          </w:tcPr>
          <w:p w14:paraId="62CFD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88" w:type="dxa"/>
            <w:vAlign w:val="center"/>
          </w:tcPr>
          <w:p w14:paraId="5ABEC72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06" w:type="dxa"/>
            <w:vAlign w:val="center"/>
          </w:tcPr>
          <w:p w14:paraId="63EB50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108" w:type="dxa"/>
            <w:vAlign w:val="center"/>
          </w:tcPr>
          <w:p w14:paraId="558C76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786" w:type="dxa"/>
            <w:vAlign w:val="center"/>
          </w:tcPr>
          <w:p w14:paraId="08ACF2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864" w:type="dxa"/>
            <w:vAlign w:val="center"/>
          </w:tcPr>
          <w:p w14:paraId="6DF29F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000000" w:themeColor="text1"/>
                <w14:textFill>
                  <w14:solidFill>
                    <w14:schemeClr w14:val="tx1"/>
                  </w14:solidFill>
                </w14:textFill>
              </w:rPr>
            </w:pPr>
          </w:p>
        </w:tc>
        <w:tc>
          <w:tcPr>
            <w:tcW w:w="1527" w:type="dxa"/>
          </w:tcPr>
          <w:p w14:paraId="0FE6E89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olor w:val="000000" w:themeColor="text1"/>
                <w14:textFill>
                  <w14:solidFill>
                    <w14:schemeClr w14:val="tx1"/>
                  </w14:solidFill>
                </w14:textFill>
              </w:rPr>
            </w:pPr>
          </w:p>
        </w:tc>
      </w:tr>
    </w:tbl>
    <w:p w14:paraId="602CEA4D">
      <w:pPr>
        <w:bidi w:val="0"/>
      </w:pPr>
    </w:p>
    <w:p w14:paraId="36258056">
      <w:pPr>
        <w:tabs>
          <w:tab w:val="left" w:pos="0"/>
          <w:tab w:val="decimal" w:pos="6240"/>
          <w:tab w:val="right" w:leader="dot" w:pos="10800"/>
        </w:tabs>
        <w:autoSpaceDE w:val="0"/>
        <w:autoSpaceDN w:val="0"/>
        <w:adjustRightInd w:val="0"/>
        <w:spacing w:line="360" w:lineRule="auto"/>
        <w:ind w:right="-82"/>
        <w:outlineLvl w:val="2"/>
        <w:rPr>
          <w:rFonts w:ascii="黑体" w:eastAsia="黑体"/>
          <w:color w:val="000000" w:themeColor="text1"/>
          <w:sz w:val="28"/>
          <w:szCs w:val="28"/>
          <w14:textFill>
            <w14:solidFill>
              <w14:schemeClr w14:val="tx1"/>
            </w14:solidFill>
          </w14:textFill>
        </w:rPr>
      </w:pPr>
      <w:bookmarkStart w:id="182" w:name="_Toc6933786"/>
      <w:bookmarkStart w:id="183" w:name="_Toc7350291"/>
      <w:r>
        <w:rPr>
          <w:rFonts w:hint="eastAsia" w:ascii="黑体" w:eastAsia="黑体"/>
          <w:color w:val="000000" w:themeColor="text1"/>
          <w:sz w:val="28"/>
          <w:szCs w:val="28"/>
          <w14:textFill>
            <w14:solidFill>
              <w14:schemeClr w14:val="tx1"/>
            </w14:solidFill>
          </w14:textFill>
        </w:rPr>
        <w:t>3.分项价格表</w:t>
      </w:r>
      <w:bookmarkEnd w:id="182"/>
      <w:bookmarkEnd w:id="183"/>
    </w:p>
    <w:tbl>
      <w:tblPr>
        <w:tblStyle w:val="17"/>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3846"/>
        <w:gridCol w:w="4135"/>
      </w:tblGrid>
      <w:tr w14:paraId="2D3C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57B94074">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序号</w:t>
            </w:r>
          </w:p>
        </w:tc>
        <w:tc>
          <w:tcPr>
            <w:tcW w:w="3846" w:type="dxa"/>
            <w:vAlign w:val="center"/>
          </w:tcPr>
          <w:p w14:paraId="78EA7A7A">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服务内容</w:t>
            </w:r>
          </w:p>
        </w:tc>
        <w:tc>
          <w:tcPr>
            <w:tcW w:w="4135" w:type="dxa"/>
            <w:vAlign w:val="center"/>
          </w:tcPr>
          <w:p w14:paraId="5669A071">
            <w:pPr>
              <w:pStyle w:val="7"/>
              <w:keepNext w:val="0"/>
              <w:keepLines w:val="0"/>
              <w:pageBreakBefore w:val="0"/>
              <w:widowControl w:val="0"/>
              <w:kinsoku/>
              <w:wordWrap/>
              <w:overflowPunct/>
              <w:topLinePunct w:val="0"/>
              <w:bidi w:val="0"/>
              <w:spacing w:before="120" w:beforeLines="50"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单项价格（元）</w:t>
            </w:r>
          </w:p>
        </w:tc>
      </w:tr>
      <w:tr w14:paraId="5C7E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158E3B31">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3846" w:type="dxa"/>
            <w:vAlign w:val="center"/>
          </w:tcPr>
          <w:p w14:paraId="0C818405">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5FB276A7">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333E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0581D15A">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3846" w:type="dxa"/>
            <w:vAlign w:val="center"/>
          </w:tcPr>
          <w:p w14:paraId="604911A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6E364692">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2B5D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75C0EE4E">
            <w:pPr>
              <w:keepNext w:val="0"/>
              <w:keepLines w:val="0"/>
              <w:pageBreakBefore w:val="0"/>
              <w:widowControl w:val="0"/>
              <w:kinsoku/>
              <w:wordWrap/>
              <w:overflowPunct/>
              <w:topLinePunct w:val="0"/>
              <w:bidi w:val="0"/>
              <w:snapToGrid w:val="0"/>
              <w:spacing w:line="360" w:lineRule="auto"/>
              <w:ind w:firstLine="0" w:firstLineChars="0"/>
              <w:jc w:val="center"/>
              <w:textAlignment w:val="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3846" w:type="dxa"/>
            <w:vAlign w:val="center"/>
          </w:tcPr>
          <w:p w14:paraId="058324A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1322713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4E69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25" w:type="dxa"/>
            <w:vAlign w:val="center"/>
          </w:tcPr>
          <w:p w14:paraId="2DAFCB02">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asciiTheme="minorEastAsia" w:hAnsiTheme="minorEastAsia" w:eastAsiaTheme="minorEastAsia"/>
                <w:color w:val="000000" w:themeColor="text1"/>
                <w:kern w:val="0"/>
                <w:szCs w:val="21"/>
                <w14:textFill>
                  <w14:solidFill>
                    <w14:schemeClr w14:val="tx1"/>
                  </w14:solidFill>
                </w14:textFill>
              </w:rPr>
              <w:t>…</w:t>
            </w:r>
          </w:p>
        </w:tc>
        <w:tc>
          <w:tcPr>
            <w:tcW w:w="3846" w:type="dxa"/>
            <w:vAlign w:val="center"/>
          </w:tcPr>
          <w:p w14:paraId="4C0BE38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7F2520D6">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1F3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47388A1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5F1719DB">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1447BD8E">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413A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66DC331D">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28A1C5E4">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613173F3">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23AB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5" w:type="dxa"/>
            <w:vAlign w:val="center"/>
          </w:tcPr>
          <w:p w14:paraId="6B112C56">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3846" w:type="dxa"/>
            <w:vAlign w:val="center"/>
          </w:tcPr>
          <w:p w14:paraId="0CDEC4B3">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c>
          <w:tcPr>
            <w:tcW w:w="4135" w:type="dxa"/>
            <w:vAlign w:val="center"/>
          </w:tcPr>
          <w:p w14:paraId="592CB867">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r w14:paraId="5BEA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1" w:type="dxa"/>
            <w:gridSpan w:val="2"/>
            <w:vAlign w:val="center"/>
          </w:tcPr>
          <w:p w14:paraId="7B2FA438">
            <w:pPr>
              <w:pStyle w:val="7"/>
              <w:keepNext w:val="0"/>
              <w:keepLines w:val="0"/>
              <w:pageBreakBefore w:val="0"/>
              <w:widowControl w:val="0"/>
              <w:kinsoku/>
              <w:wordWrap/>
              <w:overflowPunct/>
              <w:topLinePunct w:val="0"/>
              <w:bidi w:val="0"/>
              <w:spacing w:line="360" w:lineRule="auto"/>
              <w:ind w:firstLine="0" w:firstLineChars="0"/>
              <w:textAlignment w:val="auto"/>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合计(万元)</w:t>
            </w:r>
          </w:p>
        </w:tc>
        <w:tc>
          <w:tcPr>
            <w:tcW w:w="4135" w:type="dxa"/>
            <w:vAlign w:val="center"/>
          </w:tcPr>
          <w:p w14:paraId="6DBBE271">
            <w:pPr>
              <w:pStyle w:val="7"/>
              <w:keepNext w:val="0"/>
              <w:keepLines w:val="0"/>
              <w:pageBreakBefore w:val="0"/>
              <w:widowControl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olor w:val="000000" w:themeColor="text1"/>
                <w:kern w:val="0"/>
                <w:szCs w:val="21"/>
                <w14:textFill>
                  <w14:solidFill>
                    <w14:schemeClr w14:val="tx1"/>
                  </w14:solidFill>
                </w14:textFill>
              </w:rPr>
            </w:pPr>
          </w:p>
        </w:tc>
      </w:tr>
    </w:tbl>
    <w:p w14:paraId="5E3A0920">
      <w:pPr>
        <w:pStyle w:val="7"/>
        <w:spacing w:before="120" w:beforeLines="50" w:line="360" w:lineRule="auto"/>
        <w:ind w:firstLine="280" w:firstLineChars="100"/>
        <w:rPr>
          <w:rFonts w:hint="eastAsia"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注：报价明细表中各分项报价合计应当与报价汇总表中总价一致。</w:t>
      </w:r>
    </w:p>
    <w:p w14:paraId="737CEA63">
      <w:pPr>
        <w:pStyle w:val="7"/>
        <w:spacing w:line="360" w:lineRule="auto"/>
        <w:ind w:firstLine="660" w:firstLineChars="275"/>
        <w:rPr>
          <w:rFonts w:hint="eastAsia" w:hAnsi="宋体"/>
          <w:color w:val="000000" w:themeColor="text1"/>
          <w:sz w:val="24"/>
          <w14:textFill>
            <w14:solidFill>
              <w14:schemeClr w14:val="tx1"/>
            </w14:solidFill>
          </w14:textFill>
        </w:rPr>
      </w:pPr>
    </w:p>
    <w:p w14:paraId="4A1C0E4F">
      <w:pPr>
        <w:spacing w:line="360" w:lineRule="auto"/>
        <w:outlineLvl w:val="1"/>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14:paraId="0F85157F">
      <w:pPr>
        <w:pStyle w:val="3"/>
        <w:numPr>
          <w:ilvl w:val="1"/>
          <w:numId w:val="2"/>
        </w:numPr>
        <w:bidi w:val="0"/>
        <w:ind w:firstLine="0"/>
        <w:rPr>
          <w:rFonts w:hint="eastAsia" w:ascii="Times New Roman" w:hAnsi="Times New Roman" w:eastAsia="仿宋"/>
        </w:rPr>
      </w:pPr>
      <w:bookmarkStart w:id="184" w:name="_Toc6839439"/>
      <w:bookmarkStart w:id="185" w:name="_Toc6933787"/>
      <w:bookmarkStart w:id="186" w:name="_Toc7350292"/>
      <w:r>
        <w:rPr>
          <w:rFonts w:hint="eastAsia" w:ascii="Times New Roman" w:hAnsi="Times New Roman" w:eastAsia="仿宋"/>
        </w:rPr>
        <w:t>附录</w:t>
      </w:r>
      <w:bookmarkEnd w:id="181"/>
      <w:bookmarkEnd w:id="184"/>
      <w:bookmarkEnd w:id="185"/>
      <w:bookmarkEnd w:id="186"/>
    </w:p>
    <w:p w14:paraId="7F965797">
      <w:pPr>
        <w:outlineLvl w:val="2"/>
        <w:rPr>
          <w:rFonts w:hint="eastAsia" w:ascii="黑体" w:hAnsi="黑体" w:eastAsia="黑体"/>
          <w:color w:val="000000" w:themeColor="text1"/>
          <w:sz w:val="28"/>
          <w:szCs w:val="28"/>
          <w14:textFill>
            <w14:solidFill>
              <w14:schemeClr w14:val="tx1"/>
            </w14:solidFill>
          </w14:textFill>
        </w:rPr>
      </w:pPr>
      <w:bookmarkStart w:id="187" w:name="_Toc452065018"/>
      <w:bookmarkStart w:id="188" w:name="_Toc452121925"/>
      <w:bookmarkStart w:id="189" w:name="_Toc7350293"/>
      <w:bookmarkStart w:id="190" w:name="_Toc6933480"/>
      <w:bookmarkStart w:id="191" w:name="_Toc7348269"/>
      <w:r>
        <w:rPr>
          <w:rFonts w:hint="eastAsia" w:ascii="黑体" w:hAnsi="黑体" w:eastAsia="黑体"/>
          <w:color w:val="000000" w:themeColor="text1"/>
          <w:sz w:val="28"/>
          <w:szCs w:val="28"/>
          <w14:textFill>
            <w14:solidFill>
              <w14:schemeClr w14:val="tx1"/>
            </w14:solidFill>
          </w14:textFill>
        </w:rPr>
        <w:t>附录1授权书</w:t>
      </w:r>
      <w:bookmarkEnd w:id="187"/>
      <w:bookmarkEnd w:id="188"/>
      <w:r>
        <w:rPr>
          <w:rFonts w:hint="eastAsia" w:ascii="黑体" w:hAnsi="黑体" w:eastAsia="黑体"/>
          <w:color w:val="000000" w:themeColor="text1"/>
          <w:sz w:val="28"/>
          <w:szCs w:val="28"/>
          <w14:textFill>
            <w14:solidFill>
              <w14:schemeClr w14:val="tx1"/>
            </w14:solidFill>
          </w14:textFill>
        </w:rPr>
        <w:t>（格式）</w:t>
      </w:r>
      <w:bookmarkEnd w:id="189"/>
      <w:bookmarkEnd w:id="190"/>
      <w:bookmarkEnd w:id="191"/>
    </w:p>
    <w:p w14:paraId="45AB2D5F">
      <w:pPr>
        <w:pStyle w:val="35"/>
        <w:spacing w:before="100" w:after="100"/>
        <w:ind w:right="-52"/>
        <w:jc w:val="center"/>
        <w:rPr>
          <w:rFonts w:hint="eastAsia" w:ascii="宋体" w:hAnsi="宋体"/>
          <w:b/>
          <w:bCs/>
          <w:color w:val="000000" w:themeColor="text1"/>
          <w:spacing w:val="8"/>
          <w:sz w:val="28"/>
          <w:szCs w:val="28"/>
          <w14:textFill>
            <w14:solidFill>
              <w14:schemeClr w14:val="tx1"/>
            </w14:solidFill>
          </w14:textFill>
        </w:rPr>
      </w:pPr>
      <w:r>
        <w:rPr>
          <w:rFonts w:hint="eastAsia" w:ascii="宋体" w:hAnsi="宋体"/>
          <w:b/>
          <w:bCs/>
          <w:color w:val="000000" w:themeColor="text1"/>
          <w:spacing w:val="8"/>
          <w:sz w:val="28"/>
          <w:szCs w:val="28"/>
          <w14:textFill>
            <w14:solidFill>
              <w14:schemeClr w14:val="tx1"/>
            </w14:solidFill>
          </w14:textFill>
        </w:rPr>
        <w:t>授权书</w:t>
      </w:r>
    </w:p>
    <w:p w14:paraId="52F8768B">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致： </w:t>
      </w:r>
    </w:p>
    <w:p w14:paraId="20E894F4">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15A7220B">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____________   （报价人全称），中华人民共和国合法企业，法定地址：</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w:t>
      </w:r>
    </w:p>
    <w:p w14:paraId="47D1CBD3">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特授权</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身份证号：</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），代表我公司全权办理</w:t>
      </w:r>
      <w:r>
        <w:rPr>
          <w:rFonts w:hint="eastAsia" w:ascii="仿宋_GB2312" w:eastAsia="仿宋_GB2312"/>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项目（标的物名称）</w:t>
      </w:r>
      <w:r>
        <w:rPr>
          <w:rFonts w:hint="eastAsia" w:ascii="仿宋_GB2312" w:eastAsia="仿宋_GB2312"/>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的报价、响应、谈判、签约、执行等具体工作，并签署全部有关文件、协议及合同。</w:t>
      </w:r>
    </w:p>
    <w:p w14:paraId="56853099">
      <w:pPr>
        <w:pStyle w:val="35"/>
        <w:spacing w:line="480" w:lineRule="auto"/>
        <w:ind w:firstLine="48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我公司对被授权人签署的所有文件、协议及合同负全部责任。</w:t>
      </w:r>
    </w:p>
    <w:p w14:paraId="4EA63A58">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在采购人收到撤销本授权的通知以前，本授权书一直有效。被授权人签署的所有文件、协议和合同（在本授权书有效期内签署的）不因授权的撤销而失效。</w:t>
      </w:r>
    </w:p>
    <w:p w14:paraId="5A1916DC">
      <w:pPr>
        <w:pStyle w:val="35"/>
        <w:spacing w:line="480" w:lineRule="auto"/>
        <w:ind w:firstLine="420"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被授权人不得转授权。</w:t>
      </w:r>
    </w:p>
    <w:p w14:paraId="0F8EEE69">
      <w:pPr>
        <w:pStyle w:val="35"/>
        <w:spacing w:line="480" w:lineRule="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795CE89D">
      <w:pPr>
        <w:pStyle w:val="35"/>
        <w:spacing w:line="480" w:lineRule="auto"/>
        <w:ind w:left="960" w:hanging="960"/>
        <w:rPr>
          <w:rFonts w:hint="eastAsia" w:ascii="宋体" w:hAnsi="宋体"/>
          <w:color w:val="000000" w:themeColor="text1"/>
          <w:sz w:val="21"/>
          <w:szCs w:val="21"/>
          <w14:textFill>
            <w14:solidFill>
              <w14:schemeClr w14:val="tx1"/>
            </w14:solidFill>
          </w14:textFill>
        </w:rPr>
      </w:pPr>
    </w:p>
    <w:p w14:paraId="7C54D142">
      <w:pPr>
        <w:pStyle w:val="35"/>
        <w:spacing w:line="480" w:lineRule="auto"/>
        <w:ind w:left="1277" w:leftChars="456" w:right="480" w:firstLine="3360" w:firstLineChars="1600"/>
        <w:rPr>
          <w:rFonts w:hint="eastAsia" w:ascii="宋体" w:hAnsi="宋体"/>
          <w:color w:val="FF0000"/>
          <w:sz w:val="21"/>
          <w:szCs w:val="21"/>
        </w:rPr>
      </w:pPr>
      <w:r>
        <w:rPr>
          <w:rFonts w:hint="eastAsia" w:ascii="宋体" w:hAnsi="宋体"/>
          <w:color w:val="000000" w:themeColor="text1"/>
          <w:sz w:val="21"/>
          <w:szCs w:val="21"/>
          <w14:textFill>
            <w14:solidFill>
              <w14:schemeClr w14:val="tx1"/>
            </w14:solidFill>
          </w14:textFill>
        </w:rPr>
        <w:t xml:space="preserve">            公</w:t>
      </w:r>
      <w:r>
        <w:rPr>
          <w:rFonts w:hint="eastAsia" w:ascii="宋体" w:hAnsi="宋体"/>
          <w:color w:val="FF0000"/>
          <w:sz w:val="21"/>
          <w:szCs w:val="21"/>
        </w:rPr>
        <w:t xml:space="preserve">   </w:t>
      </w:r>
      <w:r>
        <w:rPr>
          <w:rFonts w:hint="eastAsia" w:ascii="宋体" w:hAnsi="宋体"/>
          <w:color w:val="000000" w:themeColor="text1"/>
          <w:sz w:val="21"/>
          <w:szCs w:val="21"/>
          <w14:textFill>
            <w14:solidFill>
              <w14:schemeClr w14:val="tx1"/>
            </w14:solidFill>
          </w14:textFill>
        </w:rPr>
        <w:t>章</w:t>
      </w:r>
    </w:p>
    <w:p w14:paraId="5CECC57D">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日  期：  年  月  日</w:t>
      </w:r>
    </w:p>
    <w:p w14:paraId="026137A3">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 </w:t>
      </w:r>
    </w:p>
    <w:p w14:paraId="66A018EB">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p>
    <w:p w14:paraId="26E8CBC3">
      <w:pPr>
        <w:pStyle w:val="35"/>
        <w:spacing w:line="480" w:lineRule="auto"/>
        <w:ind w:left="632" w:right="480" w:firstLine="4200"/>
        <w:rPr>
          <w:rFonts w:hint="eastAsia" w:ascii="宋体" w:hAnsi="宋体"/>
          <w:color w:val="000000" w:themeColor="text1"/>
          <w:sz w:val="21"/>
          <w:szCs w:val="21"/>
          <w14:textFill>
            <w14:solidFill>
              <w14:schemeClr w14:val="tx1"/>
            </w14:solidFill>
          </w14:textFill>
        </w:rPr>
      </w:pPr>
    </w:p>
    <w:p w14:paraId="4BDDC0E5">
      <w:pPr>
        <w:pStyle w:val="35"/>
        <w:spacing w:line="480" w:lineRule="auto"/>
        <w:ind w:left="140" w:leftChars="50" w:firstLine="420" w:firstLineChars="200"/>
        <w:jc w:val="left"/>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注：若被授权人有两名或两名以上，如未特别声明，则任一被授权人签署的有关文件、协议、合同或处理的相关事务均应视为有效。</w:t>
      </w:r>
    </w:p>
    <w:p w14:paraId="3735A3C4">
      <w:pPr>
        <w:widowControl/>
        <w:jc w:val="left"/>
        <w:rPr>
          <w:rFonts w:hint="eastAsia" w:ascii="黑体" w:hAnsi="黑体" w:eastAsia="黑体"/>
          <w:color w:val="000000" w:themeColor="text1"/>
          <w:kern w:val="0"/>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14:paraId="0400FCFD">
      <w:pPr>
        <w:outlineLvl w:val="2"/>
        <w:rPr>
          <w:rFonts w:hint="eastAsia" w:ascii="黑体" w:hAnsi="黑体" w:eastAsia="黑体"/>
          <w:color w:val="000000" w:themeColor="text1"/>
          <w:sz w:val="28"/>
          <w:szCs w:val="28"/>
          <w14:textFill>
            <w14:solidFill>
              <w14:schemeClr w14:val="tx1"/>
            </w14:solidFill>
          </w14:textFill>
        </w:rPr>
      </w:pPr>
      <w:bookmarkStart w:id="192" w:name="_Toc452065019"/>
      <w:bookmarkStart w:id="193" w:name="_Toc452121926"/>
      <w:bookmarkStart w:id="194" w:name="_Toc7350294"/>
      <w:bookmarkStart w:id="195" w:name="_Toc6933481"/>
      <w:bookmarkStart w:id="196" w:name="_Toc7348270"/>
      <w:r>
        <w:rPr>
          <w:rFonts w:hint="eastAsia" w:ascii="黑体" w:hAnsi="黑体" w:eastAsia="黑体"/>
          <w:color w:val="000000" w:themeColor="text1"/>
          <w:sz w:val="28"/>
          <w:szCs w:val="28"/>
          <w14:textFill>
            <w14:solidFill>
              <w14:schemeClr w14:val="tx1"/>
            </w14:solidFill>
          </w14:textFill>
        </w:rPr>
        <w:t>附录2 报价人承诺函</w:t>
      </w:r>
      <w:bookmarkEnd w:id="192"/>
      <w:bookmarkEnd w:id="193"/>
      <w:r>
        <w:rPr>
          <w:rFonts w:hint="eastAsia" w:ascii="黑体" w:hAnsi="黑体" w:eastAsia="黑体"/>
          <w:color w:val="000000" w:themeColor="text1"/>
          <w:sz w:val="28"/>
          <w:szCs w:val="28"/>
          <w14:textFill>
            <w14:solidFill>
              <w14:schemeClr w14:val="tx1"/>
            </w14:solidFill>
          </w14:textFill>
        </w:rPr>
        <w:t>（格式）</w:t>
      </w:r>
      <w:bookmarkEnd w:id="194"/>
      <w:bookmarkEnd w:id="195"/>
      <w:bookmarkEnd w:id="196"/>
    </w:p>
    <w:p w14:paraId="34F61694">
      <w:pPr>
        <w:spacing w:line="360" w:lineRule="auto"/>
        <w:ind w:firstLine="560" w:firstLineChars="200"/>
        <w:rPr>
          <w:rFonts w:hint="eastAsia" w:ascii="宋体" w:hAnsi="宋体"/>
          <w:color w:val="000000" w:themeColor="text1"/>
          <w14:textFill>
            <w14:solidFill>
              <w14:schemeClr w14:val="tx1"/>
            </w14:solidFill>
          </w14:textFill>
        </w:rPr>
      </w:pPr>
    </w:p>
    <w:p w14:paraId="5FCD0D19">
      <w:pPr>
        <w:tabs>
          <w:tab w:val="left" w:pos="630"/>
        </w:tabs>
        <w:adjustRightInd w:val="0"/>
        <w:spacing w:line="360" w:lineRule="auto"/>
        <w:rPr>
          <w:rFonts w:hint="eastAsia" w:ascii="宋体" w:hAnsi="宋体"/>
          <w:color w:val="000000" w:themeColor="text1"/>
          <w14:textFill>
            <w14:solidFill>
              <w14:schemeClr w14:val="tx1"/>
            </w14:solidFill>
          </w14:textFill>
        </w:rPr>
      </w:pPr>
    </w:p>
    <w:p w14:paraId="587C500C">
      <w:pPr>
        <w:tabs>
          <w:tab w:val="left" w:pos="630"/>
        </w:tabs>
        <w:adjustRightInd w:val="0"/>
        <w:spacing w:line="360" w:lineRule="auto"/>
        <w:rPr>
          <w:rFonts w:hint="eastAsia"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项目名称：</w:t>
      </w:r>
      <w:r>
        <w:rPr>
          <w:rFonts w:hint="eastAsia" w:ascii="宋体" w:hAnsi="宋体"/>
          <w:color w:val="000000" w:themeColor="text1"/>
          <w:u w:val="single"/>
          <w14:textFill>
            <w14:solidFill>
              <w14:schemeClr w14:val="tx1"/>
            </w14:solidFill>
          </w14:textFill>
        </w:rPr>
        <w:t xml:space="preserve">            </w:t>
      </w:r>
    </w:p>
    <w:p w14:paraId="3417BFA4">
      <w:pPr>
        <w:spacing w:line="480" w:lineRule="auto"/>
        <w:ind w:firstLine="560" w:firstLineChars="200"/>
        <w:rPr>
          <w:rFonts w:hint="eastAsia" w:ascii="宋体" w:hAnsi="宋体"/>
          <w:color w:val="000000" w:themeColor="text1"/>
          <w14:textFill>
            <w14:solidFill>
              <w14:schemeClr w14:val="tx1"/>
            </w14:solidFill>
          </w14:textFill>
        </w:rPr>
      </w:pPr>
    </w:p>
    <w:p w14:paraId="0E1FC3E8">
      <w:pPr>
        <w:spacing w:line="480" w:lineRule="auto"/>
        <w:ind w:firstLine="560" w:firstLineChars="200"/>
        <w:rPr>
          <w:rFonts w:hint="eastAsia"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（采购机构名称）</w:t>
      </w:r>
    </w:p>
    <w:p w14:paraId="73AB6023">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很荣幸能参与上述项目的竞争。</w:t>
      </w:r>
    </w:p>
    <w:p w14:paraId="10941C26">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我代表</w:t>
      </w:r>
      <w:r>
        <w:rPr>
          <w:rFonts w:hint="eastAsia" w:ascii="宋体" w:hAnsi="宋体"/>
          <w:color w:val="000000" w:themeColor="text1"/>
          <w:u w:val="single"/>
          <w14:textFill>
            <w14:solidFill>
              <w14:schemeClr w14:val="tx1"/>
            </w14:solidFill>
          </w14:textFill>
        </w:rPr>
        <w:t xml:space="preserve">                           （报价人名称）</w:t>
      </w:r>
      <w:r>
        <w:rPr>
          <w:rFonts w:hint="eastAsia" w:ascii="宋体" w:hAnsi="宋体"/>
          <w:color w:val="000000" w:themeColor="text1"/>
          <w14:textFill>
            <w14:solidFill>
              <w14:schemeClr w14:val="tx1"/>
            </w14:solidFill>
          </w14:textFill>
        </w:rPr>
        <w:t>，在此作如下承诺：</w:t>
      </w:r>
    </w:p>
    <w:p w14:paraId="1D0893FB">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1、完全理解和接受贵方询价文件的一切规定和要求。</w:t>
      </w:r>
    </w:p>
    <w:p w14:paraId="6D21C42C">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2、提供的项目为贵方询价文件中的所有项目。</w:t>
      </w:r>
    </w:p>
    <w:p w14:paraId="436FAA78">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3、我方理解，报价最低不是成交的唯一条件。</w:t>
      </w:r>
    </w:p>
    <w:p w14:paraId="2DEB9962">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4、若成交，我方将按照询价文件的具体规定签订合同，并且严格履行合同义务。</w:t>
      </w:r>
    </w:p>
    <w:p w14:paraId="2C93272F">
      <w:pPr>
        <w:spacing w:line="480" w:lineRule="auto"/>
        <w:ind w:firstLine="56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5</w:t>
      </w:r>
      <w:bookmarkStart w:id="249" w:name="_GoBack"/>
      <w:bookmarkEnd w:id="249"/>
      <w:r>
        <w:rPr>
          <w:rFonts w:hint="eastAsia" w:ascii="宋体" w:hAnsi="宋体"/>
          <w:color w:val="000000" w:themeColor="text1"/>
          <w14:textFill>
            <w14:solidFill>
              <w14:schemeClr w14:val="tx1"/>
            </w14:solidFill>
          </w14:textFill>
        </w:rPr>
        <w:t>、若成交，本承诺函将成为合同不可分割的一部分，与合同具有同等的法律效力。</w:t>
      </w:r>
    </w:p>
    <w:p w14:paraId="24530E0B">
      <w:pPr>
        <w:spacing w:line="360" w:lineRule="auto"/>
        <w:ind w:firstLine="560" w:firstLineChars="200"/>
        <w:rPr>
          <w:rFonts w:hint="eastAsia" w:ascii="宋体" w:hAnsi="宋体"/>
          <w:color w:val="000000" w:themeColor="text1"/>
          <w14:textFill>
            <w14:solidFill>
              <w14:schemeClr w14:val="tx1"/>
            </w14:solidFill>
          </w14:textFill>
        </w:rPr>
      </w:pPr>
    </w:p>
    <w:p w14:paraId="214E78EA">
      <w:pPr>
        <w:spacing w:line="360" w:lineRule="auto"/>
        <w:ind w:firstLine="560" w:firstLineChars="200"/>
        <w:rPr>
          <w:rFonts w:hint="eastAsia" w:ascii="宋体" w:hAnsi="宋体"/>
          <w:color w:val="000000" w:themeColor="text1"/>
          <w14:textFill>
            <w14:solidFill>
              <w14:schemeClr w14:val="tx1"/>
            </w14:solidFill>
          </w14:textFill>
        </w:rPr>
      </w:pPr>
    </w:p>
    <w:p w14:paraId="5A817655">
      <w:pPr>
        <w:wordWrap w:val="0"/>
        <w:spacing w:line="440" w:lineRule="exact"/>
        <w:jc w:val="righ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报价人：</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（公章）</w:t>
      </w:r>
    </w:p>
    <w:p w14:paraId="33A5861A">
      <w:pPr>
        <w:spacing w:line="440" w:lineRule="exact"/>
        <w:jc w:val="right"/>
        <w:rPr>
          <w:color w:val="000000" w:themeColor="text1"/>
          <w:szCs w:val="21"/>
          <w14:textFill>
            <w14:solidFill>
              <w14:schemeClr w14:val="tx1"/>
            </w14:solidFill>
          </w14:textFill>
        </w:rPr>
      </w:pPr>
    </w:p>
    <w:p w14:paraId="70166A82">
      <w:pPr>
        <w:spacing w:line="360" w:lineRule="auto"/>
        <w:jc w:val="right"/>
        <w:rPr>
          <w:rFonts w:ascii="宋体" w:hAnsi="e?" w:cs="宋体"/>
          <w:b/>
          <w:color w:val="000000" w:themeColor="text1"/>
          <w:kern w:val="0"/>
          <w:sz w:val="24"/>
          <w14:textFill>
            <w14:solidFill>
              <w14:schemeClr w14:val="tx1"/>
            </w14:solidFill>
          </w14:textFill>
        </w:rPr>
      </w:pPr>
    </w:p>
    <w:p w14:paraId="5E39A157">
      <w:pPr>
        <w:widowControl/>
        <w:spacing w:line="360" w:lineRule="auto"/>
        <w:jc w:val="right"/>
        <w:rPr>
          <w:rFonts w:ascii="宋体" w:hAnsi="e?" w:cs="宋体"/>
          <w:b/>
          <w:color w:val="000000" w:themeColor="text1"/>
          <w:kern w:val="0"/>
          <w:sz w:val="24"/>
          <w14:textFill>
            <w14:solidFill>
              <w14:schemeClr w14:val="tx1"/>
            </w14:solidFill>
          </w14:textFill>
        </w:rPr>
        <w:sectPr>
          <w:pgSz w:w="11907" w:h="16839"/>
          <w:pgMar w:top="1418" w:right="1418" w:bottom="1418" w:left="1418" w:header="765" w:footer="1020" w:gutter="0"/>
          <w:cols w:space="720" w:num="1"/>
          <w:docGrid w:linePitch="286" w:charSpace="0"/>
        </w:sectPr>
      </w:pP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年</w:t>
      </w:r>
      <w:r>
        <w:rPr>
          <w:color w:val="000000" w:themeColor="text1"/>
          <w:szCs w:val="21"/>
          <w:u w:val="single"/>
          <w14:textFill>
            <w14:solidFill>
              <w14:schemeClr w14:val="tx1"/>
            </w14:solidFill>
          </w14:textFill>
        </w:rPr>
        <w:t xml:space="preserve">       </w:t>
      </w:r>
      <w:r>
        <w:rPr>
          <w:rFonts w:hint="eastAsia"/>
          <w:color w:val="000000" w:themeColor="text1"/>
          <w:szCs w:val="21"/>
          <w14:textFill>
            <w14:solidFill>
              <w14:schemeClr w14:val="tx1"/>
            </w14:solidFill>
          </w14:textFill>
        </w:rPr>
        <w:t>月</w:t>
      </w:r>
    </w:p>
    <w:p w14:paraId="6C68F24F">
      <w:pPr>
        <w:outlineLvl w:val="2"/>
        <w:rPr>
          <w:rFonts w:hint="eastAsia" w:ascii="黑体" w:hAnsi="黑体" w:eastAsia="黑体"/>
          <w:color w:val="000000" w:themeColor="text1"/>
          <w:sz w:val="28"/>
          <w:szCs w:val="28"/>
          <w14:textFill>
            <w14:solidFill>
              <w14:schemeClr w14:val="tx1"/>
            </w14:solidFill>
          </w14:textFill>
        </w:rPr>
      </w:pPr>
      <w:bookmarkStart w:id="197" w:name="_Toc452121929"/>
      <w:bookmarkStart w:id="198" w:name="_Toc317860524"/>
      <w:bookmarkStart w:id="199" w:name="_Toc452065022"/>
      <w:bookmarkStart w:id="200" w:name="_Toc6933790"/>
      <w:bookmarkStart w:id="201" w:name="_Toc6830626"/>
      <w:bookmarkStart w:id="202" w:name="_Toc7350295"/>
      <w:bookmarkStart w:id="203" w:name="_Toc6839442"/>
      <w:r>
        <w:rPr>
          <w:rFonts w:hint="eastAsia" w:ascii="黑体" w:hAnsi="黑体" w:eastAsia="黑体"/>
          <w:color w:val="000000" w:themeColor="text1"/>
          <w:sz w:val="28"/>
          <w:szCs w:val="28"/>
          <w14:textFill>
            <w14:solidFill>
              <w14:schemeClr w14:val="tx1"/>
            </w14:solidFill>
          </w14:textFill>
        </w:rPr>
        <w:t>附录3 商务偏差表</w:t>
      </w:r>
      <w:bookmarkEnd w:id="197"/>
      <w:bookmarkEnd w:id="198"/>
      <w:bookmarkEnd w:id="199"/>
      <w:r>
        <w:rPr>
          <w:rFonts w:hint="eastAsia" w:ascii="黑体" w:hAnsi="黑体" w:eastAsia="黑体"/>
          <w:color w:val="000000" w:themeColor="text1"/>
          <w:sz w:val="28"/>
          <w:szCs w:val="28"/>
          <w14:textFill>
            <w14:solidFill>
              <w14:schemeClr w14:val="tx1"/>
            </w14:solidFill>
          </w14:textFill>
        </w:rPr>
        <w:t>（格式）</w:t>
      </w:r>
      <w:bookmarkEnd w:id="200"/>
      <w:bookmarkEnd w:id="201"/>
      <w:bookmarkEnd w:id="202"/>
      <w:bookmarkEnd w:id="203"/>
    </w:p>
    <w:p w14:paraId="1124AE66">
      <w:pPr>
        <w:pStyle w:val="7"/>
        <w:spacing w:before="120" w:beforeLines="50" w:after="120" w:afterLines="50" w:line="360" w:lineRule="auto"/>
        <w:rPr>
          <w:rFonts w:hint="eastAsia" w:hAnsi="宋体"/>
          <w:color w:val="000000" w:themeColor="text1"/>
          <w14:textFill>
            <w14:solidFill>
              <w14:schemeClr w14:val="tx1"/>
            </w14:solidFill>
          </w14:textFill>
        </w:rPr>
      </w:pPr>
    </w:p>
    <w:tbl>
      <w:tblPr>
        <w:tblStyle w:val="17"/>
        <w:tblW w:w="8550"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Layout w:type="fixed"/>
        <w:tblCellMar>
          <w:top w:w="0" w:type="dxa"/>
          <w:left w:w="108" w:type="dxa"/>
          <w:bottom w:w="0" w:type="dxa"/>
          <w:right w:w="108" w:type="dxa"/>
        </w:tblCellMar>
      </w:tblPr>
      <w:tblGrid>
        <w:gridCol w:w="770"/>
        <w:gridCol w:w="1663"/>
        <w:gridCol w:w="2978"/>
        <w:gridCol w:w="1663"/>
        <w:gridCol w:w="1476"/>
      </w:tblGrid>
      <w:tr w14:paraId="2327C18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CellMar>
            <w:top w:w="0" w:type="dxa"/>
            <w:left w:w="108" w:type="dxa"/>
            <w:bottom w:w="0" w:type="dxa"/>
            <w:right w:w="108" w:type="dxa"/>
          </w:tblCellMar>
        </w:tblPrEx>
        <w:trPr>
          <w:trHeight w:val="85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7432F8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序号</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065D160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商务部分条目号</w:t>
            </w: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C22F03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商务要求</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36680D8">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报价文件响应</w:t>
            </w: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E69928C">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偏差说明</w:t>
            </w:r>
          </w:p>
        </w:tc>
      </w:tr>
      <w:tr w14:paraId="3E66A58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7391D0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51AA6F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1A838E3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3F3E15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E19C9FB">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217719B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02E93C4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8BA62E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17051F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3D04733A">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6EC54864">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1A65507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FFFFFF" w:themeFill="background1"/>
          <w:tblCellMar>
            <w:top w:w="0" w:type="dxa"/>
            <w:left w:w="108" w:type="dxa"/>
            <w:bottom w:w="0" w:type="dxa"/>
            <w:right w:w="108" w:type="dxa"/>
          </w:tblCellMar>
        </w:tblPrEx>
        <w:trPr>
          <w:trHeight w:val="510" w:hRule="atLeast"/>
          <w:jc w:val="center"/>
        </w:trPr>
        <w:tc>
          <w:tcPr>
            <w:tcW w:w="7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12359C6">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7437F344">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297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217C7F1A">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4024C49D">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14:paraId="5D978F67">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bl>
    <w:p w14:paraId="3BCD9EBB">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5A4F452C">
      <w:pPr>
        <w:spacing w:line="360" w:lineRule="auto"/>
        <w:rPr>
          <w:rFonts w:ascii="宋体" w:hAnsi="e?" w:cs="宋体"/>
          <w:b/>
          <w:color w:val="000000" w:themeColor="text1"/>
          <w:kern w:val="0"/>
          <w:sz w:val="24"/>
          <w14:textFill>
            <w14:solidFill>
              <w14:schemeClr w14:val="tx1"/>
            </w14:solidFill>
          </w14:textFill>
        </w:rPr>
      </w:pPr>
    </w:p>
    <w:p w14:paraId="5A0562D7">
      <w:pPr>
        <w:rPr>
          <w:rFonts w:hint="eastAsia" w:ascii="黑体" w:hAnsi="黑体" w:eastAsia="黑体"/>
          <w:color w:val="000000" w:themeColor="text1"/>
          <w:sz w:val="28"/>
          <w:szCs w:val="28"/>
          <w14:textFill>
            <w14:solidFill>
              <w14:schemeClr w14:val="tx1"/>
            </w14:solidFill>
          </w14:textFill>
        </w:rPr>
      </w:pPr>
      <w:bookmarkStart w:id="204" w:name="_Toc6933791"/>
      <w:bookmarkStart w:id="205" w:name="_Toc7350296"/>
      <w:bookmarkStart w:id="206" w:name="_Toc6830627"/>
      <w:bookmarkStart w:id="207" w:name="_Toc6839443"/>
      <w:r>
        <w:rPr>
          <w:rFonts w:hint="eastAsia" w:ascii="黑体" w:hAnsi="黑体" w:eastAsia="黑体"/>
          <w:color w:val="000000" w:themeColor="text1"/>
          <w:sz w:val="28"/>
          <w:szCs w:val="28"/>
          <w14:textFill>
            <w14:solidFill>
              <w14:schemeClr w14:val="tx1"/>
            </w14:solidFill>
          </w14:textFill>
        </w:rPr>
        <w:br w:type="page"/>
      </w:r>
    </w:p>
    <w:p w14:paraId="2E1D8FA3">
      <w:pPr>
        <w:outlineLvl w:val="2"/>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附录4 技术偏差表（格式）</w:t>
      </w:r>
      <w:bookmarkEnd w:id="204"/>
      <w:bookmarkEnd w:id="205"/>
      <w:bookmarkEnd w:id="206"/>
      <w:bookmarkEnd w:id="207"/>
    </w:p>
    <w:p w14:paraId="3F1C3436">
      <w:pPr>
        <w:pStyle w:val="7"/>
        <w:spacing w:before="120" w:beforeLines="50" w:after="120" w:afterLines="50" w:line="360" w:lineRule="auto"/>
        <w:rPr>
          <w:rFonts w:hint="eastAsia" w:hAnsi="宋体"/>
          <w:color w:val="000000" w:themeColor="text1"/>
          <w14:textFill>
            <w14:solidFill>
              <w14:schemeClr w14:val="tx1"/>
            </w14:solidFill>
          </w14:textFill>
        </w:rPr>
      </w:pPr>
    </w:p>
    <w:tbl>
      <w:tblPr>
        <w:tblStyle w:val="17"/>
        <w:tblW w:w="8550"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769"/>
        <w:gridCol w:w="1521"/>
        <w:gridCol w:w="3121"/>
        <w:gridCol w:w="1663"/>
        <w:gridCol w:w="1476"/>
      </w:tblGrid>
      <w:tr w14:paraId="236492A1">
        <w:tblPrEx>
          <w:tblCellMar>
            <w:top w:w="0" w:type="dxa"/>
            <w:left w:w="108" w:type="dxa"/>
            <w:bottom w:w="0" w:type="dxa"/>
            <w:right w:w="108" w:type="dxa"/>
          </w:tblCellMar>
        </w:tblPrEx>
        <w:trPr>
          <w:trHeight w:val="850"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80BC6D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序号</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6D83465">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技术部分</w:t>
            </w:r>
          </w:p>
          <w:p w14:paraId="1F5EDE0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条目号</w:t>
            </w: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579B75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e?" w:cs="宋体"/>
                <w:color w:val="000000" w:themeColor="text1"/>
                <w:kern w:val="0"/>
                <w:szCs w:val="21"/>
                <w:lang w:val="zh-CN"/>
                <w14:textFill>
                  <w14:solidFill>
                    <w14:schemeClr w14:val="tx1"/>
                  </w14:solidFill>
                </w14:textFill>
              </w:rPr>
              <w:t>技术要求（功能、关键参数、性能、材质等要求描述）</w:t>
            </w: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797B9943">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报价文件响应</w:t>
            </w: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5B3879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偏差说明</w:t>
            </w:r>
          </w:p>
        </w:tc>
      </w:tr>
      <w:tr w14:paraId="3FE4C19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459F2D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9C71A5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649964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017F200">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51AB9E4D">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034C0C7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45E2D076">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9641137">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7EF5365B">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03336EC">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7CECAE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r w14:paraId="582252A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67" w:hRule="atLeast"/>
          <w:jc w:val="center"/>
        </w:trPr>
        <w:tc>
          <w:tcPr>
            <w:tcW w:w="76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178607D2">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w:t>
            </w:r>
          </w:p>
        </w:tc>
        <w:tc>
          <w:tcPr>
            <w:tcW w:w="15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0BE6C2AF">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31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2EC7715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66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3452FDAE">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c>
          <w:tcPr>
            <w:tcW w:w="14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14:paraId="6EDABA19">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rFonts w:hint="eastAsia" w:hAnsi="宋体"/>
                <w:color w:val="000000" w:themeColor="text1"/>
                <w:sz w:val="24"/>
                <w14:textFill>
                  <w14:solidFill>
                    <w14:schemeClr w14:val="tx1"/>
                  </w14:solidFill>
                </w14:textFill>
              </w:rPr>
            </w:pPr>
          </w:p>
        </w:tc>
      </w:tr>
    </w:tbl>
    <w:p w14:paraId="37C8ECF0">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32369618">
      <w:pPr>
        <w:rPr>
          <w:b/>
          <w:color w:val="000000" w:themeColor="text1"/>
          <w:sz w:val="24"/>
          <w14:textFill>
            <w14:solidFill>
              <w14:schemeClr w14:val="tx1"/>
            </w14:solidFill>
          </w14:textFill>
        </w:rPr>
      </w:pPr>
    </w:p>
    <w:p w14:paraId="7328E790">
      <w:pPr>
        <w:widowControl/>
        <w:jc w:val="left"/>
        <w:rPr>
          <w:b/>
          <w:color w:val="000000" w:themeColor="text1"/>
          <w:kern w:val="0"/>
          <w:sz w:val="24"/>
          <w14:textFill>
            <w14:solidFill>
              <w14:schemeClr w14:val="tx1"/>
            </w14:solidFill>
          </w14:textFill>
        </w:rPr>
      </w:pPr>
    </w:p>
    <w:p w14:paraId="082FA2CA">
      <w:pPr>
        <w:widowControl/>
        <w:ind w:firstLine="482" w:firstLineChars="200"/>
        <w:jc w:val="left"/>
        <w:rPr>
          <w:b/>
          <w:color w:val="000000" w:themeColor="text1"/>
          <w:kern w:val="0"/>
          <w:sz w:val="24"/>
          <w14:textFill>
            <w14:solidFill>
              <w14:schemeClr w14:val="tx1"/>
            </w14:solidFill>
          </w14:textFill>
        </w:rPr>
        <w:sectPr>
          <w:pgSz w:w="11907" w:h="16839"/>
          <w:pgMar w:top="1418" w:right="1418" w:bottom="1418" w:left="1418" w:header="765" w:footer="1020" w:gutter="0"/>
          <w:cols w:space="720" w:num="1"/>
          <w:docGrid w:linePitch="286" w:charSpace="0"/>
        </w:sectPr>
      </w:pPr>
      <w:r>
        <w:rPr>
          <w:rFonts w:hint="eastAsia"/>
          <w:b/>
          <w:color w:val="000000" w:themeColor="text1"/>
          <w:kern w:val="0"/>
          <w:sz w:val="24"/>
          <w14:textFill>
            <w14:solidFill>
              <w14:schemeClr w14:val="tx1"/>
            </w14:solidFill>
          </w14:textFill>
        </w:rPr>
        <w:t>若报价人没有提供技术或商务差异表，则视为完全响应报价文件要求，并承担相关责任与义务。</w:t>
      </w:r>
    </w:p>
    <w:p w14:paraId="0F425D6D">
      <w:pPr>
        <w:pStyle w:val="3"/>
        <w:numPr>
          <w:ilvl w:val="1"/>
          <w:numId w:val="2"/>
        </w:numPr>
        <w:bidi w:val="0"/>
        <w:ind w:firstLine="0"/>
        <w:rPr>
          <w:rFonts w:hint="eastAsia" w:ascii="Times New Roman" w:hAnsi="Times New Roman" w:eastAsia="仿宋"/>
        </w:rPr>
      </w:pPr>
      <w:bookmarkStart w:id="208" w:name="_Toc6933792"/>
      <w:bookmarkStart w:id="209" w:name="_Toc6839444"/>
      <w:bookmarkStart w:id="210" w:name="_Toc6830628"/>
      <w:bookmarkStart w:id="211" w:name="_Toc7350297"/>
      <w:r>
        <w:rPr>
          <w:rFonts w:hint="eastAsia" w:ascii="Times New Roman" w:hAnsi="Times New Roman" w:eastAsia="仿宋"/>
        </w:rPr>
        <w:t>合同范本（另附）</w:t>
      </w:r>
      <w:bookmarkEnd w:id="208"/>
      <w:bookmarkEnd w:id="209"/>
      <w:bookmarkEnd w:id="210"/>
      <w:bookmarkEnd w:id="211"/>
    </w:p>
    <w:p w14:paraId="0006CDCF">
      <w:pPr>
        <w:rPr>
          <w:b/>
          <w:color w:val="000000" w:themeColor="text1"/>
          <w:sz w:val="28"/>
          <w:szCs w:val="28"/>
          <w14:textFill>
            <w14:solidFill>
              <w14:schemeClr w14:val="tx1"/>
            </w14:solidFill>
          </w14:textFill>
        </w:rPr>
      </w:pPr>
    </w:p>
    <w:p w14:paraId="6A51AC75">
      <w:pPr>
        <w:rPr>
          <w:b/>
          <w:color w:val="000000" w:themeColor="text1"/>
          <w:sz w:val="28"/>
          <w:szCs w:val="28"/>
          <w14:textFill>
            <w14:solidFill>
              <w14:schemeClr w14:val="tx1"/>
            </w14:solidFill>
          </w14:textFill>
        </w:rPr>
        <w:sectPr>
          <w:pgSz w:w="11907" w:h="16839"/>
          <w:pgMar w:top="1418" w:right="1418" w:bottom="1418" w:left="1418" w:header="765" w:footer="1020" w:gutter="0"/>
          <w:cols w:space="708" w:num="1"/>
          <w:titlePg/>
          <w:docGrid w:linePitch="360" w:charSpace="0"/>
        </w:sectPr>
      </w:pPr>
    </w:p>
    <w:p w14:paraId="75396952">
      <w:pPr>
        <w:pStyle w:val="3"/>
        <w:numPr>
          <w:ilvl w:val="1"/>
          <w:numId w:val="2"/>
        </w:numPr>
        <w:bidi w:val="0"/>
        <w:ind w:firstLine="0"/>
        <w:rPr>
          <w:rFonts w:hint="eastAsia" w:ascii="Times New Roman" w:hAnsi="Times New Roman" w:eastAsia="仿宋"/>
        </w:rPr>
      </w:pPr>
      <w:r>
        <w:rPr>
          <w:rFonts w:hint="eastAsia" w:ascii="Times New Roman" w:hAnsi="Times New Roman" w:eastAsia="仿宋"/>
        </w:rPr>
        <w:t>报价文件模板</w:t>
      </w:r>
    </w:p>
    <w:p w14:paraId="368A5C7C">
      <w:pPr>
        <w:pStyle w:val="7"/>
        <w:jc w:val="center"/>
        <w:rPr>
          <w:rFonts w:hint="eastAsia" w:ascii="黑体" w:hAnsi="宋体" w:eastAsia="黑体" w:cs="Arial"/>
          <w:bCs/>
          <w:color w:val="000000"/>
          <w:sz w:val="48"/>
          <w:szCs w:val="48"/>
        </w:rPr>
      </w:pPr>
      <w:bookmarkStart w:id="212" w:name="_Toc164830484"/>
    </w:p>
    <w:p w14:paraId="750AD7E3">
      <w:pPr>
        <w:pStyle w:val="7"/>
        <w:jc w:val="center"/>
        <w:rPr>
          <w:rFonts w:hint="eastAsia" w:ascii="黑体" w:hAnsi="宋体" w:eastAsia="黑体" w:cs="Arial"/>
          <w:bCs/>
          <w:color w:val="FF0000"/>
          <w:sz w:val="48"/>
          <w:szCs w:val="48"/>
        </w:rPr>
      </w:pPr>
    </w:p>
    <w:p w14:paraId="425074A1">
      <w:pPr>
        <w:pStyle w:val="7"/>
        <w:spacing w:line="360" w:lineRule="auto"/>
        <w:jc w:val="center"/>
        <w:rPr>
          <w:rFonts w:hint="eastAsia" w:hAnsi="宋体"/>
          <w:b/>
          <w:color w:val="000000" w:themeColor="text1"/>
          <w:sz w:val="52"/>
          <w:szCs w:val="44"/>
          <w14:textFill>
            <w14:solidFill>
              <w14:schemeClr w14:val="tx1"/>
            </w14:solidFill>
          </w14:textFill>
        </w:rPr>
      </w:pPr>
      <w:r>
        <w:rPr>
          <w:rFonts w:hint="eastAsia" w:hAnsi="宋体"/>
          <w:b/>
          <w:color w:val="000000" w:themeColor="text1"/>
          <w:sz w:val="52"/>
          <w:szCs w:val="44"/>
          <w14:textFill>
            <w14:solidFill>
              <w14:schemeClr w14:val="tx1"/>
            </w14:solidFill>
          </w14:textFill>
        </w:rPr>
        <w:t>XX公司</w:t>
      </w:r>
    </w:p>
    <w:p w14:paraId="239711AB">
      <w:pPr>
        <w:pStyle w:val="7"/>
        <w:spacing w:line="360" w:lineRule="auto"/>
        <w:jc w:val="center"/>
        <w:rPr>
          <w:rFonts w:hint="eastAsia" w:ascii="黑体" w:hAnsi="宋体" w:eastAsia="黑体" w:cs="Arial"/>
          <w:b/>
          <w:bCs/>
          <w:color w:val="000000" w:themeColor="text1"/>
          <w:sz w:val="52"/>
          <w:szCs w:val="44"/>
          <w14:textFill>
            <w14:solidFill>
              <w14:schemeClr w14:val="tx1"/>
            </w14:solidFill>
          </w14:textFill>
        </w:rPr>
      </w:pPr>
      <w:r>
        <w:rPr>
          <w:rFonts w:hint="eastAsia" w:hAnsi="宋体"/>
          <w:b/>
          <w:color w:val="000000" w:themeColor="text1"/>
          <w:sz w:val="52"/>
          <w:szCs w:val="44"/>
          <w14:textFill>
            <w14:solidFill>
              <w14:schemeClr w14:val="tx1"/>
            </w14:solidFill>
          </w14:textFill>
        </w:rPr>
        <w:t>XX项目</w:t>
      </w:r>
    </w:p>
    <w:p w14:paraId="758D840A">
      <w:pPr>
        <w:pStyle w:val="7"/>
        <w:spacing w:line="360" w:lineRule="auto"/>
        <w:jc w:val="center"/>
        <w:rPr>
          <w:rFonts w:hint="eastAsia" w:ascii="黑体" w:hAnsi="宋体" w:eastAsia="黑体" w:cs="Arial"/>
          <w:bCs/>
          <w:color w:val="000000"/>
          <w:sz w:val="48"/>
          <w:szCs w:val="48"/>
        </w:rPr>
      </w:pPr>
    </w:p>
    <w:p w14:paraId="510F794E">
      <w:pPr>
        <w:pStyle w:val="7"/>
        <w:spacing w:line="360" w:lineRule="auto"/>
        <w:jc w:val="center"/>
        <w:rPr>
          <w:rFonts w:hint="eastAsia" w:ascii="黑体" w:hAnsi="宋体" w:eastAsia="黑体" w:cs="Arial"/>
          <w:bCs/>
          <w:color w:val="000000"/>
          <w:sz w:val="48"/>
          <w:szCs w:val="48"/>
        </w:rPr>
      </w:pPr>
    </w:p>
    <w:p w14:paraId="59AD80F9">
      <w:pPr>
        <w:pStyle w:val="7"/>
        <w:spacing w:line="360" w:lineRule="auto"/>
        <w:jc w:val="center"/>
        <w:rPr>
          <w:rFonts w:hint="eastAsia" w:hAnsi="宋体"/>
          <w:b/>
          <w:sz w:val="72"/>
        </w:rPr>
      </w:pPr>
      <w:r>
        <w:rPr>
          <w:rFonts w:hint="eastAsia" w:hAnsi="宋体"/>
          <w:b/>
          <w:sz w:val="72"/>
        </w:rPr>
        <w:t>报价</w:t>
      </w:r>
      <w:r>
        <w:rPr>
          <w:rFonts w:hAnsi="宋体"/>
          <w:b/>
          <w:sz w:val="72"/>
        </w:rPr>
        <w:t>文件</w:t>
      </w:r>
    </w:p>
    <w:p w14:paraId="7039AFEA">
      <w:pPr>
        <w:pStyle w:val="7"/>
        <w:jc w:val="center"/>
        <w:rPr>
          <w:rFonts w:hint="eastAsia" w:hAnsi="宋体"/>
          <w:b/>
          <w:sz w:val="36"/>
        </w:rPr>
      </w:pPr>
    </w:p>
    <w:p w14:paraId="701E8D94">
      <w:pPr>
        <w:pStyle w:val="7"/>
        <w:jc w:val="center"/>
        <w:rPr>
          <w:rFonts w:hint="eastAsia" w:hAnsi="宋体"/>
          <w:sz w:val="10"/>
        </w:rPr>
      </w:pPr>
    </w:p>
    <w:p w14:paraId="5F2A646B">
      <w:pPr>
        <w:pStyle w:val="7"/>
        <w:jc w:val="center"/>
        <w:rPr>
          <w:rFonts w:hint="eastAsia" w:hAnsi="宋体"/>
          <w:sz w:val="10"/>
        </w:rPr>
      </w:pPr>
    </w:p>
    <w:p w14:paraId="61D54D2E">
      <w:pPr>
        <w:pStyle w:val="7"/>
        <w:jc w:val="center"/>
        <w:rPr>
          <w:rFonts w:hint="eastAsia" w:hAnsi="宋体"/>
        </w:rPr>
      </w:pPr>
    </w:p>
    <w:p w14:paraId="4EFEC171">
      <w:pPr>
        <w:pStyle w:val="7"/>
        <w:jc w:val="center"/>
        <w:rPr>
          <w:rFonts w:hint="eastAsia" w:hAnsi="宋体"/>
        </w:rPr>
      </w:pPr>
    </w:p>
    <w:p w14:paraId="1E4FDCD3">
      <w:pPr>
        <w:pStyle w:val="7"/>
        <w:jc w:val="center"/>
        <w:rPr>
          <w:rFonts w:hint="eastAsia" w:hAnsi="宋体"/>
        </w:rPr>
      </w:pPr>
    </w:p>
    <w:p w14:paraId="78D75D25">
      <w:pPr>
        <w:pStyle w:val="7"/>
        <w:jc w:val="center"/>
        <w:rPr>
          <w:rFonts w:hint="eastAsia" w:hAnsi="宋体"/>
        </w:rPr>
      </w:pPr>
    </w:p>
    <w:p w14:paraId="791D541E">
      <w:pPr>
        <w:spacing w:line="360" w:lineRule="auto"/>
        <w:ind w:firstLine="1557" w:firstLineChars="354"/>
        <w:jc w:val="left"/>
        <w:rPr>
          <w:rFonts w:hint="eastAsia" w:ascii="黑体" w:hAnsi="宋体" w:eastAsia="黑体"/>
          <w:bCs/>
          <w:sz w:val="44"/>
        </w:rPr>
      </w:pPr>
    </w:p>
    <w:p w14:paraId="7530F084">
      <w:pPr>
        <w:spacing w:line="360" w:lineRule="auto"/>
        <w:ind w:firstLine="1557" w:firstLineChars="354"/>
        <w:jc w:val="left"/>
        <w:rPr>
          <w:rFonts w:hint="eastAsia" w:ascii="黑体" w:hAnsi="宋体" w:eastAsia="黑体"/>
          <w:bCs/>
          <w:sz w:val="44"/>
        </w:rPr>
      </w:pPr>
      <w:r>
        <w:rPr>
          <w:rFonts w:hint="eastAsia" w:ascii="黑体" w:hAnsi="宋体" w:eastAsia="黑体"/>
          <w:bCs/>
          <w:sz w:val="44"/>
        </w:rPr>
        <w:t>报价人：</w:t>
      </w:r>
    </w:p>
    <w:p w14:paraId="7187EE43">
      <w:pPr>
        <w:ind w:firstLine="2906" w:firstLineChars="804"/>
        <w:rPr>
          <w:rFonts w:hint="eastAsia" w:ascii="宋体" w:hAnsi="宋体"/>
          <w:b/>
          <w:sz w:val="36"/>
        </w:rPr>
      </w:pPr>
    </w:p>
    <w:p w14:paraId="06CC795A">
      <w:pPr>
        <w:pStyle w:val="7"/>
        <w:jc w:val="center"/>
        <w:rPr>
          <w:rFonts w:hint="eastAsia" w:ascii="黑体" w:hAnsi="宋体" w:eastAsia="黑体"/>
          <w:bCs/>
          <w:sz w:val="36"/>
          <w:szCs w:val="24"/>
        </w:rPr>
      </w:pPr>
      <w:r>
        <w:rPr>
          <w:rFonts w:hint="eastAsia" w:ascii="黑体" w:hAnsi="宋体" w:eastAsia="黑体"/>
          <w:bCs/>
          <w:sz w:val="36"/>
          <w:szCs w:val="24"/>
        </w:rPr>
        <w:t>XX年XX月</w:t>
      </w:r>
    </w:p>
    <w:p w14:paraId="6D5832A8">
      <w:pPr>
        <w:widowControl/>
        <w:jc w:val="left"/>
        <w:rPr>
          <w:rFonts w:hint="eastAsia" w:ascii="宋体" w:hAnsi="宋体"/>
        </w:rPr>
      </w:pPr>
      <w:r>
        <w:rPr>
          <w:rFonts w:ascii="宋体" w:hAnsi="宋体"/>
        </w:rPr>
        <w:br w:type="page"/>
      </w:r>
      <w:bookmarkEnd w:id="212"/>
    </w:p>
    <w:sdt>
      <w:sdtPr>
        <w:rPr>
          <w:rFonts w:ascii="Times New Roman" w:hAnsi="Times New Roman" w:eastAsia="宋体" w:cs="Times New Roman"/>
          <w:b w:val="0"/>
          <w:bCs w:val="0"/>
          <w:color w:val="auto"/>
          <w:kern w:val="2"/>
          <w:sz w:val="24"/>
          <w:szCs w:val="24"/>
          <w:lang w:val="zh-CN"/>
        </w:rPr>
        <w:id w:val="1058664048"/>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B9C4360">
          <w:pPr>
            <w:pStyle w:val="40"/>
            <w:jc w:val="center"/>
          </w:pPr>
          <w:r>
            <w:rPr>
              <w:lang w:val="zh-CN"/>
            </w:rPr>
            <w:t>目录</w:t>
          </w:r>
        </w:p>
        <w:p w14:paraId="64D1ACE3">
          <w:pPr>
            <w:pStyle w:val="12"/>
            <w:rPr>
              <w:kern w:val="2"/>
              <w:sz w:val="21"/>
            </w:rPr>
          </w:pPr>
          <w:r>
            <w:fldChar w:fldCharType="begin"/>
          </w:r>
          <w:r>
            <w:instrText xml:space="preserve"> TOC \o "1-3" \h \z \u </w:instrText>
          </w:r>
          <w:r>
            <w:fldChar w:fldCharType="separate"/>
          </w:r>
        </w:p>
        <w:p w14:paraId="5AE279C6">
          <w:pPr>
            <w:pStyle w:val="12"/>
            <w:rPr>
              <w:kern w:val="2"/>
              <w:sz w:val="21"/>
            </w:rPr>
          </w:pPr>
          <w:r>
            <w:fldChar w:fldCharType="begin"/>
          </w:r>
          <w:r>
            <w:instrText xml:space="preserve"> HYPERLINK \l "_Toc7350299" </w:instrText>
          </w:r>
          <w:r>
            <w:fldChar w:fldCharType="separate"/>
          </w:r>
          <w:r>
            <w:rPr>
              <w:rStyle w:val="20"/>
              <w:rFonts w:hint="eastAsia"/>
            </w:rPr>
            <w:t>第一章</w:t>
          </w:r>
          <w:r>
            <w:rPr>
              <w:rStyle w:val="20"/>
            </w:rPr>
            <w:t xml:space="preserve"> </w:t>
          </w:r>
          <w:r>
            <w:rPr>
              <w:rStyle w:val="20"/>
              <w:rFonts w:hint="eastAsia"/>
            </w:rPr>
            <w:t>报价人授权书、承诺函</w:t>
          </w:r>
          <w:r>
            <w:tab/>
          </w:r>
          <w:r>
            <w:fldChar w:fldCharType="begin"/>
          </w:r>
          <w:r>
            <w:instrText xml:space="preserve"> PAGEREF _Toc7350299 \h </w:instrText>
          </w:r>
          <w:r>
            <w:fldChar w:fldCharType="separate"/>
          </w:r>
          <w:r>
            <w:t>4</w:t>
          </w:r>
          <w:r>
            <w:fldChar w:fldCharType="end"/>
          </w:r>
          <w:r>
            <w:fldChar w:fldCharType="end"/>
          </w:r>
        </w:p>
        <w:p w14:paraId="3D667DB1">
          <w:pPr>
            <w:pStyle w:val="13"/>
            <w:tabs>
              <w:tab w:val="right" w:leader="dot" w:pos="8296"/>
            </w:tabs>
            <w:rPr>
              <w:kern w:val="2"/>
              <w:sz w:val="21"/>
            </w:rPr>
          </w:pPr>
          <w:r>
            <w:fldChar w:fldCharType="begin"/>
          </w:r>
          <w:r>
            <w:instrText xml:space="preserve"> HYPERLINK \l "_Toc7350300" </w:instrText>
          </w:r>
          <w:r>
            <w:fldChar w:fldCharType="separate"/>
          </w:r>
          <w:r>
            <w:rPr>
              <w:rStyle w:val="20"/>
              <w:rFonts w:hint="eastAsia"/>
            </w:rPr>
            <w:t>一、报价人授权书</w:t>
          </w:r>
          <w:r>
            <w:tab/>
          </w:r>
          <w:r>
            <w:fldChar w:fldCharType="begin"/>
          </w:r>
          <w:r>
            <w:instrText xml:space="preserve"> PAGEREF _Toc7350300 \h </w:instrText>
          </w:r>
          <w:r>
            <w:fldChar w:fldCharType="separate"/>
          </w:r>
          <w:r>
            <w:t>4</w:t>
          </w:r>
          <w:r>
            <w:fldChar w:fldCharType="end"/>
          </w:r>
          <w:r>
            <w:fldChar w:fldCharType="end"/>
          </w:r>
        </w:p>
        <w:p w14:paraId="1FF0C432">
          <w:pPr>
            <w:pStyle w:val="13"/>
            <w:tabs>
              <w:tab w:val="right" w:leader="dot" w:pos="8296"/>
            </w:tabs>
            <w:rPr>
              <w:kern w:val="2"/>
              <w:sz w:val="21"/>
            </w:rPr>
          </w:pPr>
          <w:r>
            <w:fldChar w:fldCharType="begin"/>
          </w:r>
          <w:r>
            <w:instrText xml:space="preserve"> HYPERLINK \l "_Toc7350301" </w:instrText>
          </w:r>
          <w:r>
            <w:fldChar w:fldCharType="separate"/>
          </w:r>
          <w:r>
            <w:rPr>
              <w:rStyle w:val="20"/>
              <w:rFonts w:hint="eastAsia"/>
            </w:rPr>
            <w:t>二、报价人承诺函</w:t>
          </w:r>
          <w:r>
            <w:tab/>
          </w:r>
          <w:r>
            <w:fldChar w:fldCharType="begin"/>
          </w:r>
          <w:r>
            <w:instrText xml:space="preserve"> PAGEREF _Toc7350301 \h </w:instrText>
          </w:r>
          <w:r>
            <w:fldChar w:fldCharType="separate"/>
          </w:r>
          <w:r>
            <w:t>5</w:t>
          </w:r>
          <w:r>
            <w:fldChar w:fldCharType="end"/>
          </w:r>
          <w:r>
            <w:fldChar w:fldCharType="end"/>
          </w:r>
        </w:p>
        <w:p w14:paraId="72A38448">
          <w:pPr>
            <w:pStyle w:val="12"/>
            <w:rPr>
              <w:kern w:val="2"/>
              <w:sz w:val="21"/>
            </w:rPr>
          </w:pPr>
          <w:r>
            <w:fldChar w:fldCharType="begin"/>
          </w:r>
          <w:r>
            <w:instrText xml:space="preserve"> HYPERLINK \l "_Toc7350302" </w:instrText>
          </w:r>
          <w:r>
            <w:fldChar w:fldCharType="separate"/>
          </w:r>
          <w:r>
            <w:rPr>
              <w:rStyle w:val="20"/>
              <w:rFonts w:hint="eastAsia"/>
            </w:rPr>
            <w:t>第二章</w:t>
          </w:r>
          <w:r>
            <w:rPr>
              <w:rStyle w:val="20"/>
            </w:rPr>
            <w:t xml:space="preserve"> </w:t>
          </w:r>
          <w:r>
            <w:rPr>
              <w:rStyle w:val="20"/>
              <w:rFonts w:hint="eastAsia"/>
            </w:rPr>
            <w:t>报价人资格文件</w:t>
          </w:r>
          <w:r>
            <w:tab/>
          </w:r>
          <w:r>
            <w:fldChar w:fldCharType="begin"/>
          </w:r>
          <w:r>
            <w:instrText xml:space="preserve"> PAGEREF _Toc7350302 \h </w:instrText>
          </w:r>
          <w:r>
            <w:fldChar w:fldCharType="separate"/>
          </w:r>
          <w:r>
            <w:t>6</w:t>
          </w:r>
          <w:r>
            <w:fldChar w:fldCharType="end"/>
          </w:r>
          <w:r>
            <w:fldChar w:fldCharType="end"/>
          </w:r>
        </w:p>
        <w:p w14:paraId="0616C15C">
          <w:pPr>
            <w:pStyle w:val="13"/>
            <w:tabs>
              <w:tab w:val="right" w:leader="dot" w:pos="8296"/>
            </w:tabs>
            <w:rPr>
              <w:kern w:val="2"/>
              <w:sz w:val="21"/>
            </w:rPr>
          </w:pPr>
          <w:r>
            <w:fldChar w:fldCharType="begin"/>
          </w:r>
          <w:r>
            <w:instrText xml:space="preserve"> HYPERLINK \l "_Toc7350303" </w:instrText>
          </w:r>
          <w:r>
            <w:fldChar w:fldCharType="separate"/>
          </w:r>
          <w:r>
            <w:rPr>
              <w:rStyle w:val="20"/>
              <w:rFonts w:hint="eastAsia"/>
            </w:rPr>
            <w:t>一、营业执照扫描件</w:t>
          </w:r>
          <w:r>
            <w:tab/>
          </w:r>
          <w:r>
            <w:fldChar w:fldCharType="begin"/>
          </w:r>
          <w:r>
            <w:instrText xml:space="preserve"> PAGEREF _Toc7350303 \h </w:instrText>
          </w:r>
          <w:r>
            <w:fldChar w:fldCharType="separate"/>
          </w:r>
          <w:r>
            <w:t>6</w:t>
          </w:r>
          <w:r>
            <w:fldChar w:fldCharType="end"/>
          </w:r>
          <w:r>
            <w:fldChar w:fldCharType="end"/>
          </w:r>
        </w:p>
        <w:p w14:paraId="32049BFF">
          <w:pPr>
            <w:pStyle w:val="13"/>
            <w:tabs>
              <w:tab w:val="right" w:leader="dot" w:pos="8296"/>
            </w:tabs>
            <w:rPr>
              <w:kern w:val="2"/>
              <w:sz w:val="21"/>
            </w:rPr>
          </w:pPr>
          <w:r>
            <w:fldChar w:fldCharType="begin"/>
          </w:r>
          <w:r>
            <w:instrText xml:space="preserve"> HYPERLINK \l "_Toc7350304" </w:instrText>
          </w:r>
          <w:r>
            <w:fldChar w:fldCharType="separate"/>
          </w:r>
          <w:r>
            <w:rPr>
              <w:rStyle w:val="20"/>
              <w:rFonts w:hint="eastAsia"/>
            </w:rPr>
            <w:t>二、报价人资质证书等</w:t>
          </w:r>
          <w:r>
            <w:tab/>
          </w:r>
          <w:r>
            <w:fldChar w:fldCharType="begin"/>
          </w:r>
          <w:r>
            <w:instrText xml:space="preserve"> PAGEREF _Toc7350304 \h </w:instrText>
          </w:r>
          <w:r>
            <w:fldChar w:fldCharType="separate"/>
          </w:r>
          <w:r>
            <w:t>7</w:t>
          </w:r>
          <w:r>
            <w:fldChar w:fldCharType="end"/>
          </w:r>
          <w:r>
            <w:fldChar w:fldCharType="end"/>
          </w:r>
        </w:p>
        <w:p w14:paraId="75E15A9A">
          <w:pPr>
            <w:pStyle w:val="12"/>
            <w:rPr>
              <w:kern w:val="2"/>
              <w:sz w:val="21"/>
            </w:rPr>
          </w:pPr>
          <w:r>
            <w:fldChar w:fldCharType="begin"/>
          </w:r>
          <w:r>
            <w:instrText xml:space="preserve"> HYPERLINK \l "_Toc7350306" </w:instrText>
          </w:r>
          <w:r>
            <w:fldChar w:fldCharType="separate"/>
          </w:r>
          <w:r>
            <w:rPr>
              <w:rStyle w:val="20"/>
              <w:rFonts w:hint="eastAsia"/>
            </w:rPr>
            <w:t>第三章</w:t>
          </w:r>
          <w:r>
            <w:rPr>
              <w:rStyle w:val="20"/>
            </w:rPr>
            <w:t xml:space="preserve"> </w:t>
          </w:r>
          <w:r>
            <w:rPr>
              <w:rStyle w:val="20"/>
              <w:rFonts w:hint="eastAsia"/>
            </w:rPr>
            <w:t>报价人业绩证明材料</w:t>
          </w:r>
          <w:r>
            <w:tab/>
          </w:r>
          <w:r>
            <w:fldChar w:fldCharType="begin"/>
          </w:r>
          <w:r>
            <w:instrText xml:space="preserve"> PAGEREF _Toc7350306 \h </w:instrText>
          </w:r>
          <w:r>
            <w:fldChar w:fldCharType="separate"/>
          </w:r>
          <w:r>
            <w:t>8</w:t>
          </w:r>
          <w:r>
            <w:fldChar w:fldCharType="end"/>
          </w:r>
          <w:r>
            <w:fldChar w:fldCharType="end"/>
          </w:r>
        </w:p>
        <w:p w14:paraId="615DC566">
          <w:pPr>
            <w:pStyle w:val="13"/>
            <w:tabs>
              <w:tab w:val="right" w:leader="dot" w:pos="8296"/>
            </w:tabs>
            <w:rPr>
              <w:kern w:val="2"/>
              <w:sz w:val="21"/>
            </w:rPr>
          </w:pPr>
          <w:r>
            <w:fldChar w:fldCharType="begin"/>
          </w:r>
          <w:r>
            <w:instrText xml:space="preserve"> HYPERLINK \l "_Toc7350307" </w:instrText>
          </w:r>
          <w:r>
            <w:fldChar w:fldCharType="separate"/>
          </w:r>
          <w:r>
            <w:rPr>
              <w:rStyle w:val="20"/>
              <w:rFonts w:hint="eastAsia"/>
            </w:rPr>
            <w:t>报价人须提供的合同业绩</w:t>
          </w:r>
          <w:r>
            <w:tab/>
          </w:r>
          <w:r>
            <w:fldChar w:fldCharType="begin"/>
          </w:r>
          <w:r>
            <w:instrText xml:space="preserve"> PAGEREF _Toc7350307 \h </w:instrText>
          </w:r>
          <w:r>
            <w:fldChar w:fldCharType="separate"/>
          </w:r>
          <w:r>
            <w:t>8</w:t>
          </w:r>
          <w:r>
            <w:fldChar w:fldCharType="end"/>
          </w:r>
          <w:r>
            <w:fldChar w:fldCharType="end"/>
          </w:r>
        </w:p>
        <w:p w14:paraId="656AB2D8">
          <w:pPr>
            <w:pStyle w:val="12"/>
            <w:rPr>
              <w:kern w:val="2"/>
              <w:sz w:val="21"/>
            </w:rPr>
          </w:pPr>
          <w:r>
            <w:fldChar w:fldCharType="begin"/>
          </w:r>
          <w:r>
            <w:instrText xml:space="preserve"> HYPERLINK \l "_Toc7350309" </w:instrText>
          </w:r>
          <w:r>
            <w:fldChar w:fldCharType="separate"/>
          </w:r>
          <w:r>
            <w:rPr>
              <w:rStyle w:val="20"/>
              <w:rFonts w:hint="eastAsia"/>
            </w:rPr>
            <w:t>第四章</w:t>
          </w:r>
          <w:r>
            <w:rPr>
              <w:rStyle w:val="20"/>
            </w:rPr>
            <w:t xml:space="preserve"> </w:t>
          </w:r>
          <w:r>
            <w:rPr>
              <w:rStyle w:val="20"/>
              <w:rFonts w:hint="eastAsia"/>
            </w:rPr>
            <w:t>报价部分</w:t>
          </w:r>
          <w:r>
            <w:tab/>
          </w:r>
          <w:r>
            <w:fldChar w:fldCharType="begin"/>
          </w:r>
          <w:r>
            <w:instrText xml:space="preserve"> PAGEREF _Toc7350309 \h </w:instrText>
          </w:r>
          <w:r>
            <w:fldChar w:fldCharType="separate"/>
          </w:r>
          <w:r>
            <w:t>9</w:t>
          </w:r>
          <w:r>
            <w:fldChar w:fldCharType="end"/>
          </w:r>
          <w:r>
            <w:fldChar w:fldCharType="end"/>
          </w:r>
        </w:p>
        <w:p w14:paraId="495BEBAC">
          <w:pPr>
            <w:pStyle w:val="12"/>
            <w:rPr>
              <w:kern w:val="2"/>
              <w:sz w:val="21"/>
            </w:rPr>
          </w:pPr>
          <w:r>
            <w:fldChar w:fldCharType="begin"/>
          </w:r>
          <w:r>
            <w:instrText xml:space="preserve"> HYPERLINK \l "_Toc7350310" </w:instrText>
          </w:r>
          <w:r>
            <w:fldChar w:fldCharType="separate"/>
          </w:r>
          <w:r>
            <w:rPr>
              <w:rStyle w:val="20"/>
              <w:rFonts w:hint="eastAsia"/>
            </w:rPr>
            <w:t>第五章</w:t>
          </w:r>
          <w:r>
            <w:rPr>
              <w:rStyle w:val="20"/>
            </w:rPr>
            <w:t xml:space="preserve"> </w:t>
          </w:r>
          <w:r>
            <w:rPr>
              <w:rStyle w:val="20"/>
              <w:rFonts w:hint="eastAsia"/>
            </w:rPr>
            <w:t>商务差异表</w:t>
          </w:r>
          <w:r>
            <w:tab/>
          </w:r>
          <w:r>
            <w:fldChar w:fldCharType="begin"/>
          </w:r>
          <w:r>
            <w:instrText xml:space="preserve"> PAGEREF _Toc7350310 \h </w:instrText>
          </w:r>
          <w:r>
            <w:fldChar w:fldCharType="separate"/>
          </w:r>
          <w:r>
            <w:t>10</w:t>
          </w:r>
          <w:r>
            <w:fldChar w:fldCharType="end"/>
          </w:r>
          <w:r>
            <w:fldChar w:fldCharType="end"/>
          </w:r>
        </w:p>
        <w:p w14:paraId="666D1234">
          <w:pPr>
            <w:pStyle w:val="12"/>
            <w:rPr>
              <w:kern w:val="2"/>
              <w:sz w:val="21"/>
            </w:rPr>
          </w:pPr>
          <w:r>
            <w:fldChar w:fldCharType="begin"/>
          </w:r>
          <w:r>
            <w:instrText xml:space="preserve"> HYPERLINK \l "_Toc7350311" </w:instrText>
          </w:r>
          <w:r>
            <w:fldChar w:fldCharType="separate"/>
          </w:r>
          <w:r>
            <w:rPr>
              <w:rStyle w:val="20"/>
              <w:rFonts w:hint="eastAsia"/>
            </w:rPr>
            <w:t>第六章</w:t>
          </w:r>
          <w:r>
            <w:rPr>
              <w:rStyle w:val="20"/>
            </w:rPr>
            <w:t xml:space="preserve"> </w:t>
          </w:r>
          <w:r>
            <w:rPr>
              <w:rStyle w:val="20"/>
              <w:rFonts w:hint="eastAsia"/>
            </w:rPr>
            <w:t>其它</w:t>
          </w:r>
          <w:r>
            <w:tab/>
          </w:r>
          <w:r>
            <w:fldChar w:fldCharType="begin"/>
          </w:r>
          <w:r>
            <w:instrText xml:space="preserve"> PAGEREF _Toc7350311 \h </w:instrText>
          </w:r>
          <w:r>
            <w:fldChar w:fldCharType="separate"/>
          </w:r>
          <w:r>
            <w:t>11</w:t>
          </w:r>
          <w:r>
            <w:fldChar w:fldCharType="end"/>
          </w:r>
          <w:r>
            <w:fldChar w:fldCharType="end"/>
          </w:r>
        </w:p>
        <w:p w14:paraId="0160443D">
          <w:pPr>
            <w:pStyle w:val="13"/>
            <w:tabs>
              <w:tab w:val="right" w:leader="dot" w:pos="8296"/>
            </w:tabs>
            <w:rPr>
              <w:kern w:val="2"/>
              <w:sz w:val="21"/>
            </w:rPr>
          </w:pPr>
          <w:r>
            <w:fldChar w:fldCharType="begin"/>
          </w:r>
          <w:r>
            <w:instrText xml:space="preserve"> HYPERLINK \l "_Toc7350312" </w:instrText>
          </w:r>
          <w:r>
            <w:fldChar w:fldCharType="separate"/>
          </w:r>
          <w:r>
            <w:rPr>
              <w:rStyle w:val="20"/>
              <w:rFonts w:hint="eastAsia"/>
            </w:rPr>
            <w:t>一、报价人基本情况</w:t>
          </w:r>
          <w:r>
            <w:tab/>
          </w:r>
          <w:r>
            <w:fldChar w:fldCharType="begin"/>
          </w:r>
          <w:r>
            <w:instrText xml:space="preserve"> PAGEREF _Toc7350312 \h </w:instrText>
          </w:r>
          <w:r>
            <w:fldChar w:fldCharType="separate"/>
          </w:r>
          <w:r>
            <w:t>11</w:t>
          </w:r>
          <w:r>
            <w:fldChar w:fldCharType="end"/>
          </w:r>
          <w:r>
            <w:fldChar w:fldCharType="end"/>
          </w:r>
        </w:p>
        <w:p w14:paraId="6526887D">
          <w:pPr>
            <w:pStyle w:val="13"/>
            <w:tabs>
              <w:tab w:val="right" w:leader="dot" w:pos="8296"/>
            </w:tabs>
            <w:rPr>
              <w:kern w:val="2"/>
              <w:sz w:val="21"/>
            </w:rPr>
          </w:pPr>
          <w:r>
            <w:fldChar w:fldCharType="begin"/>
          </w:r>
          <w:r>
            <w:instrText xml:space="preserve"> HYPERLINK \l "_Toc7350313" </w:instrText>
          </w:r>
          <w:r>
            <w:fldChar w:fldCharType="separate"/>
          </w:r>
          <w:r>
            <w:rPr>
              <w:rStyle w:val="20"/>
              <w:rFonts w:hint="eastAsia"/>
            </w:rPr>
            <w:t>二、质量环境安全体系认证</w:t>
          </w:r>
          <w:r>
            <w:tab/>
          </w:r>
          <w:r>
            <w:fldChar w:fldCharType="begin"/>
          </w:r>
          <w:r>
            <w:instrText xml:space="preserve"> PAGEREF _Toc7350313 \h </w:instrText>
          </w:r>
          <w:r>
            <w:fldChar w:fldCharType="separate"/>
          </w:r>
          <w:r>
            <w:t>12</w:t>
          </w:r>
          <w:r>
            <w:fldChar w:fldCharType="end"/>
          </w:r>
          <w:r>
            <w:fldChar w:fldCharType="end"/>
          </w:r>
        </w:p>
        <w:p w14:paraId="124F0353">
          <w:pPr>
            <w:pStyle w:val="13"/>
            <w:tabs>
              <w:tab w:val="right" w:leader="dot" w:pos="8296"/>
            </w:tabs>
            <w:rPr>
              <w:kern w:val="2"/>
              <w:sz w:val="21"/>
            </w:rPr>
          </w:pPr>
          <w:r>
            <w:fldChar w:fldCharType="begin"/>
          </w:r>
          <w:r>
            <w:instrText xml:space="preserve"> HYPERLINK \l "_Toc7350314" </w:instrText>
          </w:r>
          <w:r>
            <w:fldChar w:fldCharType="separate"/>
          </w:r>
          <w:r>
            <w:rPr>
              <w:rStyle w:val="20"/>
              <w:rFonts w:hint="eastAsia"/>
            </w:rPr>
            <w:t>三、上一年度财务报表</w:t>
          </w:r>
          <w:r>
            <w:tab/>
          </w:r>
          <w:r>
            <w:fldChar w:fldCharType="begin"/>
          </w:r>
          <w:r>
            <w:instrText xml:space="preserve"> PAGEREF _Toc7350314 \h </w:instrText>
          </w:r>
          <w:r>
            <w:fldChar w:fldCharType="separate"/>
          </w:r>
          <w:r>
            <w:t>13</w:t>
          </w:r>
          <w:r>
            <w:fldChar w:fldCharType="end"/>
          </w:r>
          <w:r>
            <w:fldChar w:fldCharType="end"/>
          </w:r>
        </w:p>
        <w:p w14:paraId="7C3F32E8">
          <w:pPr>
            <w:pStyle w:val="13"/>
            <w:tabs>
              <w:tab w:val="right" w:leader="dot" w:pos="8296"/>
            </w:tabs>
            <w:rPr>
              <w:kern w:val="2"/>
              <w:sz w:val="21"/>
            </w:rPr>
          </w:pPr>
          <w:r>
            <w:fldChar w:fldCharType="begin"/>
          </w:r>
          <w:r>
            <w:instrText xml:space="preserve"> HYPERLINK \l "_Toc7350315" </w:instrText>
          </w:r>
          <w:r>
            <w:fldChar w:fldCharType="separate"/>
          </w:r>
          <w:r>
            <w:rPr>
              <w:rStyle w:val="20"/>
              <w:rFonts w:hint="eastAsia"/>
            </w:rPr>
            <w:t>四、报价人认为需要提供的其他材料</w:t>
          </w:r>
          <w:r>
            <w:tab/>
          </w:r>
          <w:r>
            <w:fldChar w:fldCharType="begin"/>
          </w:r>
          <w:r>
            <w:instrText xml:space="preserve"> PAGEREF _Toc7350315 \h </w:instrText>
          </w:r>
          <w:r>
            <w:fldChar w:fldCharType="separate"/>
          </w:r>
          <w:r>
            <w:t>14</w:t>
          </w:r>
          <w:r>
            <w:fldChar w:fldCharType="end"/>
          </w:r>
          <w:r>
            <w:fldChar w:fldCharType="end"/>
          </w:r>
        </w:p>
        <w:p w14:paraId="1F90F17C">
          <w:pPr>
            <w:pStyle w:val="12"/>
            <w:rPr>
              <w:kern w:val="2"/>
              <w:sz w:val="21"/>
            </w:rPr>
          </w:pPr>
          <w:r>
            <w:fldChar w:fldCharType="begin"/>
          </w:r>
          <w:r>
            <w:instrText xml:space="preserve"> HYPERLINK \l "_Toc7350316" </w:instrText>
          </w:r>
          <w:r>
            <w:fldChar w:fldCharType="separate"/>
          </w:r>
          <w:r>
            <w:rPr>
              <w:rStyle w:val="20"/>
              <w:rFonts w:hint="eastAsia"/>
            </w:rPr>
            <w:t>第</w:t>
          </w:r>
          <w:r>
            <w:rPr>
              <w:rStyle w:val="20"/>
              <w:rFonts w:hint="eastAsia"/>
              <w:lang w:val="en-US" w:eastAsia="zh-CN"/>
            </w:rPr>
            <w:t>七章</w:t>
          </w:r>
          <w:r>
            <w:rPr>
              <w:rStyle w:val="20"/>
            </w:rPr>
            <w:t xml:space="preserve"> </w:t>
          </w:r>
          <w:r>
            <w:rPr>
              <w:rStyle w:val="20"/>
              <w:rFonts w:hint="eastAsia"/>
            </w:rPr>
            <w:t>技术部分</w:t>
          </w:r>
          <w:r>
            <w:tab/>
          </w:r>
          <w:r>
            <w:fldChar w:fldCharType="begin"/>
          </w:r>
          <w:r>
            <w:instrText xml:space="preserve"> PAGEREF _Toc7350316 \h </w:instrText>
          </w:r>
          <w:r>
            <w:fldChar w:fldCharType="separate"/>
          </w:r>
          <w:r>
            <w:t>15</w:t>
          </w:r>
          <w:r>
            <w:fldChar w:fldCharType="end"/>
          </w:r>
          <w:r>
            <w:fldChar w:fldCharType="end"/>
          </w:r>
        </w:p>
        <w:p w14:paraId="168CD7A0">
          <w:r>
            <w:rPr>
              <w:b/>
              <w:bCs/>
              <w:lang w:val="zh-CN"/>
            </w:rPr>
            <w:fldChar w:fldCharType="end"/>
          </w:r>
        </w:p>
      </w:sdtContent>
    </w:sdt>
    <w:p w14:paraId="3438C3BB">
      <w:pPr>
        <w:jc w:val="center"/>
        <w:rPr>
          <w:b/>
          <w:sz w:val="56"/>
          <w:szCs w:val="56"/>
        </w:rPr>
      </w:pPr>
    </w:p>
    <w:p w14:paraId="7AEE902C">
      <w:pPr>
        <w:sectPr>
          <w:headerReference r:id="rId8" w:type="default"/>
          <w:footerReference r:id="rId9" w:type="default"/>
          <w:pgSz w:w="11906" w:h="16838"/>
          <w:pgMar w:top="1440" w:right="1800" w:bottom="1440" w:left="1800" w:header="851" w:footer="992" w:gutter="0"/>
          <w:pgNumType w:start="1"/>
          <w:cols w:space="720" w:num="1"/>
          <w:docGrid w:type="lines" w:linePitch="312" w:charSpace="0"/>
        </w:sectPr>
      </w:pPr>
    </w:p>
    <w:p w14:paraId="6F88DCE4">
      <w:pPr>
        <w:pStyle w:val="15"/>
      </w:pPr>
      <w:bookmarkStart w:id="213" w:name="_Toc7350299"/>
      <w:r>
        <w:rPr>
          <w:rFonts w:hint="eastAsia"/>
        </w:rPr>
        <w:t>第一章 报价人授权书、承诺函</w:t>
      </w:r>
      <w:bookmarkEnd w:id="213"/>
    </w:p>
    <w:p w14:paraId="708F196D">
      <w:pPr>
        <w:bidi w:val="0"/>
        <w:rPr>
          <w:rFonts w:hint="default" w:eastAsia="仿宋"/>
          <w:lang w:val="en-US" w:eastAsia="zh-CN"/>
        </w:rPr>
      </w:pPr>
      <w:bookmarkStart w:id="214" w:name="_Toc452623193"/>
      <w:r>
        <w:rPr>
          <w:rFonts w:hint="eastAsia"/>
          <w:lang w:val="en-US" w:eastAsia="zh-CN"/>
        </w:rPr>
        <w:t>·</w:t>
      </w:r>
      <w:r>
        <w:rPr>
          <w:rFonts w:hint="eastAsia"/>
          <w:lang w:val="en-US" w:eastAsia="zh-CN"/>
        </w:rPr>
        <w:tab/>
      </w:r>
    </w:p>
    <w:p w14:paraId="3CCF670E">
      <w:pPr>
        <w:pStyle w:val="3"/>
        <w:jc w:val="both"/>
      </w:pPr>
      <w:bookmarkStart w:id="215" w:name="_Toc7350300"/>
      <w:r>
        <w:rPr>
          <w:rFonts w:hint="eastAsia"/>
        </w:rPr>
        <w:t>一、</w:t>
      </w:r>
      <w:bookmarkEnd w:id="214"/>
      <w:r>
        <w:rPr>
          <w:rFonts w:hint="eastAsia"/>
        </w:rPr>
        <w:t>报价人授权书</w:t>
      </w:r>
      <w:bookmarkEnd w:id="215"/>
    </w:p>
    <w:p w14:paraId="7BB152AF">
      <w:pPr>
        <w:rPr>
          <w:rFonts w:hint="eastAsia" w:ascii="宋体" w:hAnsi="宋体"/>
          <w:color w:val="FF0000"/>
        </w:rPr>
      </w:pPr>
      <w:r>
        <w:rPr>
          <w:rFonts w:hint="eastAsia" w:ascii="宋体" w:hAnsi="宋体"/>
          <w:color w:val="FF0000"/>
        </w:rPr>
        <w:t>格式见采购文件第三章   附录1</w:t>
      </w:r>
    </w:p>
    <w:p w14:paraId="544C0BD4">
      <w:pPr>
        <w:pStyle w:val="3"/>
        <w:jc w:val="left"/>
        <w:sectPr>
          <w:pgSz w:w="11906" w:h="16838"/>
          <w:pgMar w:top="1440" w:right="1797" w:bottom="1440" w:left="1797" w:header="851" w:footer="992" w:gutter="0"/>
          <w:cols w:space="720" w:num="1"/>
          <w:docGrid w:linePitch="312" w:charSpace="0"/>
        </w:sectPr>
      </w:pPr>
    </w:p>
    <w:p w14:paraId="7E00395A">
      <w:pPr>
        <w:pStyle w:val="3"/>
        <w:jc w:val="left"/>
      </w:pPr>
      <w:bookmarkStart w:id="216" w:name="_Toc7350301"/>
      <w:r>
        <w:rPr>
          <w:rFonts w:hint="eastAsia"/>
        </w:rPr>
        <w:t>二、报价人承诺函</w:t>
      </w:r>
      <w:bookmarkEnd w:id="216"/>
    </w:p>
    <w:p w14:paraId="69A53AD0">
      <w:pPr>
        <w:rPr>
          <w:rFonts w:hint="eastAsia" w:ascii="宋体" w:hAnsi="宋体"/>
          <w:color w:val="FF0000"/>
        </w:rPr>
      </w:pPr>
      <w:r>
        <w:rPr>
          <w:rFonts w:hint="eastAsia" w:ascii="宋体" w:hAnsi="宋体"/>
          <w:color w:val="FF0000"/>
        </w:rPr>
        <w:t>格式见采购文件第三章   附录2</w:t>
      </w:r>
    </w:p>
    <w:p w14:paraId="033D34B4">
      <w:pPr>
        <w:pStyle w:val="3"/>
        <w:jc w:val="left"/>
        <w:sectPr>
          <w:pgSz w:w="11906" w:h="16838"/>
          <w:pgMar w:top="1440" w:right="1797" w:bottom="1440" w:left="1797" w:header="851" w:footer="992" w:gutter="0"/>
          <w:cols w:space="720" w:num="1"/>
          <w:docGrid w:linePitch="312" w:charSpace="0"/>
        </w:sectPr>
      </w:pPr>
    </w:p>
    <w:p w14:paraId="39BA8131">
      <w:pPr>
        <w:pStyle w:val="15"/>
      </w:pPr>
      <w:bookmarkStart w:id="217" w:name="_Toc444858488"/>
      <w:bookmarkStart w:id="218" w:name="_Toc444858548"/>
      <w:bookmarkStart w:id="219" w:name="_Toc7350302"/>
      <w:r>
        <w:rPr>
          <w:rFonts w:hint="eastAsia"/>
        </w:rPr>
        <w:t>第二章</w:t>
      </w:r>
      <w:bookmarkEnd w:id="217"/>
      <w:bookmarkEnd w:id="218"/>
      <w:r>
        <w:rPr>
          <w:rFonts w:hint="eastAsia"/>
        </w:rPr>
        <w:t xml:space="preserve"> 报价人资格文件</w:t>
      </w:r>
      <w:bookmarkEnd w:id="219"/>
    </w:p>
    <w:p w14:paraId="42FB0101"/>
    <w:p w14:paraId="326269CB">
      <w:pPr>
        <w:pStyle w:val="3"/>
        <w:jc w:val="left"/>
      </w:pPr>
      <w:bookmarkStart w:id="220" w:name="_Toc7350303"/>
      <w:bookmarkStart w:id="221" w:name="_Toc444858549"/>
      <w:bookmarkStart w:id="222" w:name="_Toc444858489"/>
      <w:r>
        <w:rPr>
          <w:rFonts w:hint="eastAsia"/>
        </w:rPr>
        <w:t>一、营业执照扫描件</w:t>
      </w:r>
      <w:bookmarkEnd w:id="220"/>
    </w:p>
    <w:p w14:paraId="7F1BD79E">
      <w:pPr>
        <w:pStyle w:val="33"/>
        <w:widowControl/>
        <w:tabs>
          <w:tab w:val="left" w:pos="993"/>
        </w:tabs>
        <w:ind w:left="567" w:hanging="153" w:firstLineChars="0"/>
        <w:jc w:val="left"/>
        <w:rPr>
          <w:rFonts w:ascii="宋体" w:cs="宋体" w:hAnsiTheme="minorHAnsi"/>
          <w:kern w:val="0"/>
          <w:sz w:val="28"/>
          <w:szCs w:val="28"/>
        </w:rPr>
        <w:sectPr>
          <w:pgSz w:w="11906" w:h="16838"/>
          <w:pgMar w:top="1440" w:right="1797" w:bottom="1440" w:left="1797" w:header="851" w:footer="992" w:gutter="0"/>
          <w:cols w:space="720" w:num="1"/>
          <w:docGrid w:linePitch="312" w:charSpace="0"/>
        </w:sectPr>
      </w:pPr>
    </w:p>
    <w:p w14:paraId="6FE09C55">
      <w:pPr>
        <w:pStyle w:val="33"/>
        <w:widowControl/>
        <w:tabs>
          <w:tab w:val="left" w:pos="993"/>
        </w:tabs>
        <w:ind w:left="567" w:hanging="153" w:firstLineChars="0"/>
        <w:jc w:val="left"/>
        <w:rPr>
          <w:rFonts w:ascii="宋体" w:cs="宋体" w:hAnsiTheme="minorHAnsi"/>
          <w:kern w:val="0"/>
          <w:sz w:val="28"/>
          <w:szCs w:val="28"/>
        </w:rPr>
      </w:pPr>
    </w:p>
    <w:p w14:paraId="16DA4FAF">
      <w:pPr>
        <w:pStyle w:val="3"/>
        <w:jc w:val="left"/>
      </w:pPr>
      <w:bookmarkStart w:id="223" w:name="_Toc7350304"/>
      <w:r>
        <w:rPr>
          <w:rFonts w:hint="eastAsia"/>
        </w:rPr>
        <w:t>二、报价人资质证书等</w:t>
      </w:r>
      <w:bookmarkEnd w:id="223"/>
    </w:p>
    <w:p w14:paraId="62D2948E">
      <w:pPr>
        <w:spacing w:line="360" w:lineRule="auto"/>
        <w:outlineLvl w:val="2"/>
        <w:rPr>
          <w:rFonts w:hint="eastAsia" w:ascii="宋体" w:hAnsi="宋体"/>
          <w:color w:val="FF0000"/>
        </w:rPr>
        <w:sectPr>
          <w:pgSz w:w="11906" w:h="16838"/>
          <w:pgMar w:top="1440" w:right="1797" w:bottom="1440" w:left="1797" w:header="851" w:footer="992" w:gutter="0"/>
          <w:cols w:space="720" w:num="1"/>
          <w:docGrid w:linePitch="312" w:charSpace="0"/>
        </w:sectPr>
      </w:pPr>
      <w:bookmarkStart w:id="224" w:name="_Toc7350305"/>
      <w:bookmarkStart w:id="225" w:name="_Toc6830636"/>
      <w:bookmarkStart w:id="226" w:name="_Toc6839452"/>
      <w:bookmarkStart w:id="227" w:name="_Toc6933800"/>
      <w:bookmarkStart w:id="228" w:name="_Toc3580108"/>
      <w:r>
        <w:rPr>
          <w:rFonts w:hint="eastAsia" w:ascii="宋体" w:hAnsi="宋体"/>
          <w:color w:val="FF0000"/>
        </w:rPr>
        <w:t>须提供满足 “须知前附表 ”6 商务要求中要求的证书扫描件</w:t>
      </w:r>
      <w:bookmarkEnd w:id="224"/>
      <w:bookmarkEnd w:id="225"/>
      <w:bookmarkEnd w:id="226"/>
      <w:bookmarkEnd w:id="227"/>
      <w:bookmarkEnd w:id="228"/>
    </w:p>
    <w:p w14:paraId="4F52566D">
      <w:pPr>
        <w:pStyle w:val="15"/>
      </w:pPr>
      <w:bookmarkStart w:id="229" w:name="_Toc7350306"/>
      <w:r>
        <w:rPr>
          <w:rFonts w:hint="eastAsia"/>
        </w:rPr>
        <w:t>第三章 报价人</w:t>
      </w:r>
      <w:bookmarkEnd w:id="221"/>
      <w:bookmarkEnd w:id="222"/>
      <w:r>
        <w:rPr>
          <w:rFonts w:hint="eastAsia"/>
        </w:rPr>
        <w:t>业绩证明材料</w:t>
      </w:r>
      <w:bookmarkEnd w:id="229"/>
    </w:p>
    <w:p w14:paraId="24CA7C46"/>
    <w:p w14:paraId="070E59C2">
      <w:pPr>
        <w:pStyle w:val="3"/>
        <w:jc w:val="left"/>
      </w:pPr>
      <w:bookmarkStart w:id="230" w:name="_Toc7350307"/>
      <w:r>
        <w:rPr>
          <w:rFonts w:hint="eastAsia"/>
        </w:rPr>
        <w:t>报价人须提供的合同业绩</w:t>
      </w:r>
      <w:bookmarkEnd w:id="230"/>
    </w:p>
    <w:p w14:paraId="4C96102A">
      <w:pPr>
        <w:spacing w:line="360" w:lineRule="auto"/>
        <w:outlineLvl w:val="2"/>
        <w:rPr>
          <w:rFonts w:hint="default" w:ascii="宋体" w:hAnsi="宋体" w:eastAsia="仿宋"/>
          <w:color w:val="FF0000"/>
          <w:lang w:val="en-US" w:eastAsia="zh-CN"/>
        </w:rPr>
      </w:pPr>
      <w:bookmarkStart w:id="231" w:name="_Toc6830640"/>
      <w:bookmarkStart w:id="232" w:name="_Toc6933803"/>
      <w:bookmarkStart w:id="233" w:name="_Toc6839456"/>
      <w:bookmarkStart w:id="234" w:name="_Toc7350308"/>
      <w:bookmarkStart w:id="235" w:name="_Toc3580112"/>
      <w:r>
        <w:rPr>
          <w:rFonts w:hint="eastAsia" w:ascii="宋体" w:hAnsi="宋体"/>
          <w:color w:val="FF0000"/>
        </w:rPr>
        <w:t>1、须提供满足 “须知前附表 ”6 商务要求中要求的业绩</w:t>
      </w:r>
      <w:bookmarkEnd w:id="231"/>
      <w:bookmarkEnd w:id="232"/>
      <w:bookmarkEnd w:id="233"/>
      <w:bookmarkEnd w:id="234"/>
      <w:bookmarkEnd w:id="235"/>
      <w:r>
        <w:rPr>
          <w:rFonts w:hint="eastAsia" w:ascii="宋体" w:hAnsi="宋体"/>
          <w:color w:val="FF0000"/>
          <w:lang w:eastAsia="zh-CN"/>
        </w:rPr>
        <w:t>（</w:t>
      </w:r>
      <w:r>
        <w:rPr>
          <w:rFonts w:hint="eastAsia" w:ascii="宋体" w:hAnsi="宋体"/>
          <w:color w:val="FF0000"/>
          <w:lang w:val="en-US" w:eastAsia="zh-CN"/>
        </w:rPr>
        <w:t>若有）</w:t>
      </w:r>
    </w:p>
    <w:p w14:paraId="33F6E6F0">
      <w:pPr>
        <w:rPr>
          <w:color w:val="FF0000"/>
        </w:rPr>
      </w:pPr>
      <w:r>
        <w:rPr>
          <w:rFonts w:hint="eastAsia"/>
          <w:color w:val="FF0000"/>
        </w:rPr>
        <w:t>2、报价人须提供符合本采购要求的业绩合同扫描件，必须包含</w:t>
      </w:r>
      <w:r>
        <w:rPr>
          <w:rFonts w:hint="eastAsia"/>
          <w:b/>
          <w:color w:val="FF0000"/>
        </w:rPr>
        <w:t>采购/施工/服务范围、合同签订时间、甲乙方盖章页</w:t>
      </w:r>
      <w:r>
        <w:rPr>
          <w:rFonts w:hint="eastAsia"/>
          <w:color w:val="FF0000"/>
        </w:rPr>
        <w:t>，未按上述要求提供的业绩证明文件为无效证明文件。</w:t>
      </w:r>
    </w:p>
    <w:p w14:paraId="7407CA93">
      <w:pPr>
        <w:ind w:firstLine="389" w:firstLineChars="177"/>
        <w:rPr>
          <w:sz w:val="22"/>
        </w:rPr>
        <w:sectPr>
          <w:pgSz w:w="11906" w:h="16838"/>
          <w:pgMar w:top="1440" w:right="1797" w:bottom="1440" w:left="1797" w:header="851" w:footer="992" w:gutter="0"/>
          <w:cols w:space="720" w:num="1"/>
          <w:docGrid w:linePitch="312" w:charSpace="0"/>
        </w:sectPr>
      </w:pPr>
    </w:p>
    <w:p w14:paraId="6659452A">
      <w:pPr>
        <w:pStyle w:val="15"/>
      </w:pPr>
      <w:bookmarkStart w:id="236" w:name="_Toc7350309"/>
      <w:r>
        <w:rPr>
          <w:rFonts w:hint="eastAsia"/>
        </w:rPr>
        <w:t>第四章 报价部分</w:t>
      </w:r>
      <w:bookmarkEnd w:id="236"/>
    </w:p>
    <w:p w14:paraId="09BF56C5"/>
    <w:p w14:paraId="0C70765F">
      <w:r>
        <w:rPr>
          <w:rFonts w:hint="eastAsia"/>
        </w:rPr>
        <w:t>报价人应按询价商务文件要求格式编制报价表格（详见采购文件第二章）。</w:t>
      </w:r>
    </w:p>
    <w:p w14:paraId="5179D3D5"/>
    <w:p w14:paraId="49C06A7F">
      <w:pPr>
        <w:rPr>
          <w:color w:val="FF0000"/>
        </w:rPr>
      </w:pPr>
      <w:r>
        <w:rPr>
          <w:rFonts w:hint="eastAsia"/>
          <w:color w:val="FF0000"/>
        </w:rPr>
        <w:t>(编辑要求：填写完整、扫描上传)</w:t>
      </w:r>
    </w:p>
    <w:p w14:paraId="75C254FD"/>
    <w:p w14:paraId="3B43595C">
      <w:pPr>
        <w:widowControl/>
        <w:jc w:val="left"/>
        <w:rPr>
          <w:b/>
          <w:bCs/>
          <w:kern w:val="44"/>
          <w:sz w:val="44"/>
          <w:szCs w:val="44"/>
        </w:rPr>
      </w:pPr>
      <w:r>
        <w:br w:type="page"/>
      </w:r>
    </w:p>
    <w:p w14:paraId="21C7E42F">
      <w:pPr>
        <w:pStyle w:val="15"/>
      </w:pPr>
      <w:bookmarkStart w:id="237" w:name="_Toc444858487"/>
      <w:bookmarkStart w:id="238" w:name="_Toc444858547"/>
      <w:bookmarkStart w:id="239" w:name="_Toc7350310"/>
      <w:r>
        <w:rPr>
          <w:rFonts w:hint="eastAsia"/>
        </w:rPr>
        <w:t>第五章 商务差异表</w:t>
      </w:r>
      <w:bookmarkEnd w:id="237"/>
      <w:bookmarkEnd w:id="238"/>
      <w:bookmarkEnd w:id="239"/>
    </w:p>
    <w:p w14:paraId="0C8996AD">
      <w:pPr>
        <w:rPr>
          <w:color w:val="FF0000"/>
        </w:rPr>
      </w:pPr>
      <w:r>
        <w:rPr>
          <w:rFonts w:hint="eastAsia"/>
          <w:color w:val="FF0000"/>
        </w:rPr>
        <w:t>(编辑要求：填写完整、扫描上传)</w:t>
      </w:r>
    </w:p>
    <w:p w14:paraId="156615C9"/>
    <w:p w14:paraId="085E7692"/>
    <w:tbl>
      <w:tblPr>
        <w:tblStyle w:val="17"/>
        <w:tblW w:w="8368"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1039"/>
        <w:gridCol w:w="1299"/>
        <w:gridCol w:w="2318"/>
        <w:gridCol w:w="1290"/>
        <w:gridCol w:w="2422"/>
      </w:tblGrid>
      <w:tr w14:paraId="1D0B30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vMerge w:val="restart"/>
            <w:tcBorders>
              <w:top w:val="single" w:color="000000" w:sz="4" w:space="0"/>
              <w:left w:val="single" w:color="000000" w:sz="4" w:space="0"/>
              <w:right w:val="single" w:color="000000" w:sz="6" w:space="0"/>
            </w:tcBorders>
            <w:vAlign w:val="center"/>
          </w:tcPr>
          <w:p w14:paraId="2AF77B82">
            <w:pPr>
              <w:tabs>
                <w:tab w:val="left" w:pos="630"/>
              </w:tabs>
              <w:adjustRightInd w:val="0"/>
              <w:spacing w:line="500" w:lineRule="atLeast"/>
              <w:ind w:firstLine="280" w:firstLineChars="100"/>
              <w:rPr>
                <w:rFonts w:ascii="Arial" w:hAnsi="Arial"/>
                <w:lang w:bidi="en-US"/>
              </w:rPr>
            </w:pPr>
            <w:r>
              <w:rPr>
                <w:rFonts w:hint="eastAsia" w:ascii="Arial" w:hAnsi="Arial"/>
              </w:rPr>
              <w:t>序号</w:t>
            </w:r>
          </w:p>
        </w:tc>
        <w:tc>
          <w:tcPr>
            <w:tcW w:w="3617" w:type="dxa"/>
            <w:gridSpan w:val="2"/>
            <w:tcBorders>
              <w:top w:val="single" w:color="000000" w:sz="4" w:space="0"/>
              <w:left w:val="single" w:color="000000" w:sz="6" w:space="0"/>
              <w:bottom w:val="single" w:color="000000" w:sz="6" w:space="0"/>
              <w:right w:val="single" w:color="000000" w:sz="6" w:space="0"/>
            </w:tcBorders>
            <w:vAlign w:val="center"/>
          </w:tcPr>
          <w:p w14:paraId="7349F41A">
            <w:pPr>
              <w:tabs>
                <w:tab w:val="left" w:pos="630"/>
              </w:tabs>
              <w:adjustRightInd w:val="0"/>
              <w:spacing w:line="500" w:lineRule="atLeast"/>
              <w:jc w:val="center"/>
              <w:rPr>
                <w:rFonts w:ascii="Arial" w:hAnsi="Arial"/>
                <w:lang w:eastAsia="en-US" w:bidi="en-US"/>
              </w:rPr>
            </w:pPr>
            <w:r>
              <w:rPr>
                <w:rFonts w:hint="eastAsia" w:ascii="Arial" w:hAnsi="Arial"/>
              </w:rPr>
              <w:t>询价文件</w:t>
            </w:r>
          </w:p>
        </w:tc>
        <w:tc>
          <w:tcPr>
            <w:tcW w:w="3712" w:type="dxa"/>
            <w:gridSpan w:val="2"/>
            <w:tcBorders>
              <w:top w:val="single" w:color="000000" w:sz="4" w:space="0"/>
              <w:left w:val="single" w:color="000000" w:sz="6" w:space="0"/>
              <w:bottom w:val="single" w:color="000000" w:sz="6" w:space="0"/>
              <w:right w:val="single" w:color="000000" w:sz="4" w:space="0"/>
            </w:tcBorders>
            <w:vAlign w:val="center"/>
          </w:tcPr>
          <w:p w14:paraId="77268D64">
            <w:pPr>
              <w:tabs>
                <w:tab w:val="left" w:pos="630"/>
              </w:tabs>
              <w:adjustRightInd w:val="0"/>
              <w:spacing w:line="500" w:lineRule="atLeast"/>
              <w:ind w:firstLine="1716" w:firstLineChars="613"/>
              <w:rPr>
                <w:rFonts w:ascii="Arial" w:hAnsi="Arial"/>
                <w:lang w:eastAsia="en-US" w:bidi="en-US"/>
              </w:rPr>
            </w:pPr>
            <w:r>
              <w:rPr>
                <w:rFonts w:hint="eastAsia" w:ascii="Arial" w:hAnsi="Arial"/>
              </w:rPr>
              <w:t>报价文件</w:t>
            </w:r>
          </w:p>
        </w:tc>
      </w:tr>
      <w:tr w14:paraId="5A1E7B3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vMerge w:val="continue"/>
            <w:tcBorders>
              <w:left w:val="single" w:color="000000" w:sz="4" w:space="0"/>
              <w:bottom w:val="single" w:color="000000" w:sz="6" w:space="0"/>
              <w:right w:val="single" w:color="000000" w:sz="6" w:space="0"/>
            </w:tcBorders>
            <w:vAlign w:val="center"/>
          </w:tcPr>
          <w:p w14:paraId="5153BCB0">
            <w:pPr>
              <w:tabs>
                <w:tab w:val="left" w:pos="630"/>
              </w:tabs>
              <w:adjustRightInd w:val="0"/>
              <w:spacing w:line="500" w:lineRule="atLeast"/>
              <w:ind w:firstLine="280" w:firstLineChars="10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vAlign w:val="center"/>
          </w:tcPr>
          <w:p w14:paraId="147A8FBF">
            <w:pPr>
              <w:tabs>
                <w:tab w:val="left" w:pos="630"/>
              </w:tabs>
              <w:adjustRightInd w:val="0"/>
              <w:spacing w:line="500" w:lineRule="atLeast"/>
              <w:ind w:firstLine="420" w:firstLineChars="150"/>
              <w:rPr>
                <w:rFonts w:ascii="Arial" w:hAnsi="Arial"/>
                <w:lang w:eastAsia="en-US" w:bidi="en-US"/>
              </w:rPr>
            </w:pPr>
            <w:r>
              <w:rPr>
                <w:rFonts w:hint="eastAsia" w:ascii="Arial" w:hAnsi="Arial"/>
              </w:rPr>
              <w:t>条目</w:t>
            </w:r>
          </w:p>
        </w:tc>
        <w:tc>
          <w:tcPr>
            <w:tcW w:w="2318" w:type="dxa"/>
            <w:tcBorders>
              <w:top w:val="single" w:color="000000" w:sz="6" w:space="0"/>
              <w:left w:val="single" w:color="000000" w:sz="6" w:space="0"/>
              <w:bottom w:val="single" w:color="000000" w:sz="6" w:space="0"/>
              <w:right w:val="single" w:color="000000" w:sz="6" w:space="0"/>
            </w:tcBorders>
            <w:vAlign w:val="center"/>
          </w:tcPr>
          <w:p w14:paraId="3CE943C4">
            <w:pPr>
              <w:tabs>
                <w:tab w:val="left" w:pos="630"/>
              </w:tabs>
              <w:adjustRightInd w:val="0"/>
              <w:spacing w:line="500" w:lineRule="atLeast"/>
              <w:ind w:firstLine="876" w:firstLineChars="313"/>
              <w:rPr>
                <w:rFonts w:ascii="Arial" w:hAnsi="Arial"/>
                <w:lang w:eastAsia="en-US" w:bidi="en-US"/>
              </w:rPr>
            </w:pPr>
            <w:r>
              <w:rPr>
                <w:rFonts w:hint="eastAsia" w:ascii="Arial" w:hAnsi="Arial"/>
              </w:rPr>
              <w:t>简要内容</w:t>
            </w:r>
          </w:p>
        </w:tc>
        <w:tc>
          <w:tcPr>
            <w:tcW w:w="1290" w:type="dxa"/>
            <w:tcBorders>
              <w:top w:val="single" w:color="000000" w:sz="6" w:space="0"/>
              <w:left w:val="single" w:color="000000" w:sz="6" w:space="0"/>
              <w:bottom w:val="single" w:color="000000" w:sz="6" w:space="0"/>
              <w:right w:val="single" w:color="000000" w:sz="6" w:space="0"/>
            </w:tcBorders>
            <w:vAlign w:val="center"/>
          </w:tcPr>
          <w:p w14:paraId="5BD98494">
            <w:pPr>
              <w:tabs>
                <w:tab w:val="left" w:pos="630"/>
              </w:tabs>
              <w:adjustRightInd w:val="0"/>
              <w:spacing w:line="500" w:lineRule="atLeast"/>
              <w:ind w:firstLine="360"/>
              <w:rPr>
                <w:rFonts w:ascii="Arial" w:hAnsi="Arial"/>
                <w:lang w:eastAsia="en-US" w:bidi="en-US"/>
              </w:rPr>
            </w:pPr>
            <w:r>
              <w:rPr>
                <w:rFonts w:hint="eastAsia" w:ascii="Arial" w:hAnsi="Arial"/>
              </w:rPr>
              <w:t>条目</w:t>
            </w:r>
          </w:p>
        </w:tc>
        <w:tc>
          <w:tcPr>
            <w:tcW w:w="2422" w:type="dxa"/>
            <w:tcBorders>
              <w:top w:val="single" w:color="000000" w:sz="6" w:space="0"/>
              <w:left w:val="single" w:color="000000" w:sz="6" w:space="0"/>
              <w:bottom w:val="single" w:color="000000" w:sz="6" w:space="0"/>
              <w:right w:val="single" w:color="000000" w:sz="4" w:space="0"/>
            </w:tcBorders>
            <w:vAlign w:val="center"/>
          </w:tcPr>
          <w:p w14:paraId="42BFFB74">
            <w:pPr>
              <w:tabs>
                <w:tab w:val="left" w:pos="630"/>
              </w:tabs>
              <w:adjustRightInd w:val="0"/>
              <w:spacing w:line="500" w:lineRule="atLeast"/>
              <w:ind w:firstLine="360"/>
              <w:rPr>
                <w:rFonts w:ascii="Arial" w:hAnsi="Arial"/>
                <w:lang w:eastAsia="en-US" w:bidi="en-US"/>
              </w:rPr>
            </w:pPr>
            <w:r>
              <w:rPr>
                <w:rFonts w:hint="eastAsia" w:ascii="Arial" w:hAnsi="Arial"/>
              </w:rPr>
              <w:t>简要内容及说明</w:t>
            </w:r>
          </w:p>
        </w:tc>
      </w:tr>
      <w:tr w14:paraId="1CB54C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5E6AB4CA">
            <w:pPr>
              <w:tabs>
                <w:tab w:val="left" w:pos="630"/>
              </w:tabs>
              <w:adjustRightInd w:val="0"/>
              <w:spacing w:line="360" w:lineRule="auto"/>
              <w:ind w:firstLine="360"/>
              <w:rPr>
                <w:rFonts w:hint="eastAsia" w:ascii="宋体" w:hAnsi="宋体"/>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3EA69D39">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18EA6681">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736B31AF">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725E0A12">
            <w:pPr>
              <w:tabs>
                <w:tab w:val="left" w:pos="630"/>
              </w:tabs>
              <w:adjustRightInd w:val="0"/>
              <w:spacing w:line="360" w:lineRule="auto"/>
              <w:ind w:firstLine="360"/>
              <w:rPr>
                <w:rFonts w:ascii="Arial" w:hAnsi="Arial"/>
                <w:lang w:eastAsia="en-US" w:bidi="en-US"/>
              </w:rPr>
            </w:pPr>
          </w:p>
        </w:tc>
      </w:tr>
      <w:tr w14:paraId="2149EA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723EDD41">
            <w:pPr>
              <w:tabs>
                <w:tab w:val="left" w:pos="630"/>
              </w:tabs>
              <w:adjustRightInd w:val="0"/>
              <w:spacing w:line="360" w:lineRule="auto"/>
              <w:ind w:firstLine="36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70BAE82B">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4D69A6A4">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692AC681">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290E3668">
            <w:pPr>
              <w:tabs>
                <w:tab w:val="left" w:pos="630"/>
              </w:tabs>
              <w:adjustRightInd w:val="0"/>
              <w:spacing w:line="360" w:lineRule="auto"/>
              <w:ind w:firstLine="360"/>
              <w:rPr>
                <w:rFonts w:ascii="Arial" w:hAnsi="Arial"/>
                <w:lang w:eastAsia="en-US" w:bidi="en-US"/>
              </w:rPr>
            </w:pPr>
          </w:p>
        </w:tc>
      </w:tr>
      <w:tr w14:paraId="52F4C4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c>
          <w:tcPr>
            <w:tcW w:w="1039" w:type="dxa"/>
            <w:tcBorders>
              <w:top w:val="single" w:color="000000" w:sz="6" w:space="0"/>
              <w:left w:val="single" w:color="000000" w:sz="4" w:space="0"/>
              <w:bottom w:val="single" w:color="000000" w:sz="6" w:space="0"/>
              <w:right w:val="single" w:color="000000" w:sz="6" w:space="0"/>
            </w:tcBorders>
          </w:tcPr>
          <w:p w14:paraId="2BBDDAB3">
            <w:pPr>
              <w:tabs>
                <w:tab w:val="left" w:pos="630"/>
              </w:tabs>
              <w:adjustRightInd w:val="0"/>
              <w:spacing w:line="360" w:lineRule="auto"/>
              <w:ind w:firstLine="360"/>
              <w:rPr>
                <w:rFonts w:ascii="Arial" w:hAnsi="Arial"/>
                <w:lang w:eastAsia="en-US" w:bidi="en-US"/>
              </w:rPr>
            </w:pPr>
          </w:p>
        </w:tc>
        <w:tc>
          <w:tcPr>
            <w:tcW w:w="1299" w:type="dxa"/>
            <w:tcBorders>
              <w:top w:val="single" w:color="000000" w:sz="6" w:space="0"/>
              <w:left w:val="single" w:color="000000" w:sz="6" w:space="0"/>
              <w:bottom w:val="single" w:color="000000" w:sz="6" w:space="0"/>
              <w:right w:val="single" w:color="000000" w:sz="6" w:space="0"/>
            </w:tcBorders>
          </w:tcPr>
          <w:p w14:paraId="2D7BE0AB">
            <w:pPr>
              <w:tabs>
                <w:tab w:val="left" w:pos="630"/>
              </w:tabs>
              <w:adjustRightInd w:val="0"/>
              <w:spacing w:line="360" w:lineRule="auto"/>
              <w:ind w:firstLine="360"/>
              <w:rPr>
                <w:rFonts w:ascii="Arial" w:hAnsi="Arial"/>
                <w:lang w:eastAsia="en-US" w:bidi="en-US"/>
              </w:rPr>
            </w:pPr>
          </w:p>
        </w:tc>
        <w:tc>
          <w:tcPr>
            <w:tcW w:w="2318" w:type="dxa"/>
            <w:tcBorders>
              <w:top w:val="single" w:color="000000" w:sz="6" w:space="0"/>
              <w:left w:val="single" w:color="000000" w:sz="6" w:space="0"/>
              <w:bottom w:val="single" w:color="000000" w:sz="6" w:space="0"/>
              <w:right w:val="single" w:color="000000" w:sz="6" w:space="0"/>
            </w:tcBorders>
          </w:tcPr>
          <w:p w14:paraId="0466B938">
            <w:pPr>
              <w:tabs>
                <w:tab w:val="left" w:pos="630"/>
              </w:tabs>
              <w:adjustRightInd w:val="0"/>
              <w:spacing w:line="360" w:lineRule="auto"/>
              <w:ind w:firstLine="360"/>
              <w:rPr>
                <w:rFonts w:ascii="Arial" w:hAnsi="Arial"/>
                <w:lang w:eastAsia="en-US" w:bidi="en-US"/>
              </w:rPr>
            </w:pPr>
          </w:p>
        </w:tc>
        <w:tc>
          <w:tcPr>
            <w:tcW w:w="1290" w:type="dxa"/>
            <w:tcBorders>
              <w:top w:val="single" w:color="000000" w:sz="6" w:space="0"/>
              <w:left w:val="single" w:color="000000" w:sz="6" w:space="0"/>
              <w:bottom w:val="single" w:color="000000" w:sz="6" w:space="0"/>
              <w:right w:val="single" w:color="000000" w:sz="6" w:space="0"/>
            </w:tcBorders>
          </w:tcPr>
          <w:p w14:paraId="73DC5C8D">
            <w:pPr>
              <w:tabs>
                <w:tab w:val="left" w:pos="630"/>
              </w:tabs>
              <w:adjustRightInd w:val="0"/>
              <w:spacing w:line="360" w:lineRule="auto"/>
              <w:ind w:firstLine="360"/>
              <w:rPr>
                <w:rFonts w:ascii="Arial" w:hAnsi="Arial"/>
                <w:lang w:eastAsia="en-US" w:bidi="en-US"/>
              </w:rPr>
            </w:pPr>
          </w:p>
        </w:tc>
        <w:tc>
          <w:tcPr>
            <w:tcW w:w="2422" w:type="dxa"/>
            <w:tcBorders>
              <w:top w:val="single" w:color="000000" w:sz="6" w:space="0"/>
              <w:left w:val="single" w:color="000000" w:sz="6" w:space="0"/>
              <w:bottom w:val="single" w:color="000000" w:sz="6" w:space="0"/>
              <w:right w:val="single" w:color="000000" w:sz="4" w:space="0"/>
            </w:tcBorders>
          </w:tcPr>
          <w:p w14:paraId="67D78ACD">
            <w:pPr>
              <w:tabs>
                <w:tab w:val="left" w:pos="630"/>
              </w:tabs>
              <w:adjustRightInd w:val="0"/>
              <w:spacing w:line="360" w:lineRule="auto"/>
              <w:ind w:firstLine="360"/>
              <w:rPr>
                <w:rFonts w:ascii="Arial" w:hAnsi="Arial"/>
                <w:lang w:eastAsia="en-US" w:bidi="en-US"/>
              </w:rPr>
            </w:pPr>
          </w:p>
        </w:tc>
      </w:tr>
    </w:tbl>
    <w:p w14:paraId="132E9649">
      <w:pPr>
        <w:adjustRightInd w:val="0"/>
        <w:spacing w:before="120" w:beforeLines="50" w:line="360" w:lineRule="auto"/>
        <w:ind w:left="375" w:leftChars="134" w:right="375" w:rightChars="134" w:hanging="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注：报价文件与询价文件有差异之处，无论多么微小，均应汇总说明，并说明差异的原因及</w:t>
      </w:r>
      <w:r>
        <w:rPr>
          <w:rFonts w:hint="eastAsia" w:ascii="宋体" w:hAnsi="宋体"/>
          <w:b/>
          <w:color w:val="000000" w:themeColor="text1"/>
          <w:kern w:val="0"/>
          <w:szCs w:val="20"/>
          <w14:textFill>
            <w14:solidFill>
              <w14:schemeClr w14:val="tx1"/>
            </w14:solidFill>
          </w14:textFill>
        </w:rPr>
        <w:t>撤回差异时如何引起价格的变化</w:t>
      </w:r>
      <w:r>
        <w:rPr>
          <w:rFonts w:hint="eastAsia" w:ascii="宋体" w:hAnsi="宋体"/>
          <w:color w:val="000000" w:themeColor="text1"/>
          <w:kern w:val="0"/>
          <w:szCs w:val="20"/>
          <w14:textFill>
            <w14:solidFill>
              <w14:schemeClr w14:val="tx1"/>
            </w14:solidFill>
          </w14:textFill>
        </w:rPr>
        <w:t>。如无差异，则填“无” 。如果报价文件与询价文件的差异之处没有填入“差异表”中，不管报价人是否在报价文件的其他任何地方有其他描述，均不能免除报价人已经承诺响应询价文件要求的责任。</w:t>
      </w:r>
    </w:p>
    <w:p w14:paraId="4E0119A1">
      <w:pPr>
        <w:widowControl/>
        <w:jc w:val="left"/>
        <w:rPr>
          <w:rFonts w:ascii="Cambria" w:hAnsi="Cambria"/>
          <w:b/>
          <w:bCs/>
          <w:sz w:val="30"/>
          <w:szCs w:val="32"/>
        </w:rPr>
        <w:sectPr>
          <w:pgSz w:w="11906" w:h="16838"/>
          <w:pgMar w:top="1440" w:right="1797" w:bottom="1440" w:left="1797" w:header="851" w:footer="992" w:gutter="0"/>
          <w:cols w:space="425" w:num="1"/>
          <w:docGrid w:linePitch="312" w:charSpace="0"/>
        </w:sectPr>
      </w:pPr>
    </w:p>
    <w:p w14:paraId="55582DC5">
      <w:pPr>
        <w:pStyle w:val="15"/>
      </w:pPr>
      <w:bookmarkStart w:id="240" w:name="_Toc7350311"/>
      <w:r>
        <w:rPr>
          <w:rFonts w:hint="eastAsia"/>
        </w:rPr>
        <w:t>第六章 其它</w:t>
      </w:r>
      <w:bookmarkEnd w:id="240"/>
    </w:p>
    <w:p w14:paraId="32E0C931"/>
    <w:p w14:paraId="7493227B">
      <w:pPr>
        <w:pStyle w:val="3"/>
        <w:jc w:val="left"/>
      </w:pPr>
      <w:bookmarkStart w:id="241" w:name="_Toc7350312"/>
      <w:r>
        <w:rPr>
          <w:rFonts w:hint="eastAsia"/>
        </w:rPr>
        <w:t>一、</w:t>
      </w:r>
      <w:r>
        <w:t>报价人</w:t>
      </w:r>
      <w:r>
        <w:rPr>
          <w:rFonts w:hint="eastAsia"/>
        </w:rPr>
        <w:t>基本情况</w:t>
      </w:r>
      <w:bookmarkEnd w:id="241"/>
    </w:p>
    <w:p w14:paraId="4B9EC60A">
      <w:pPr>
        <w:ind w:firstLine="560" w:firstLineChars="200"/>
      </w:pPr>
      <w:r>
        <w:rPr>
          <w:rFonts w:hint="eastAsia"/>
        </w:rPr>
        <w:t>如：法定名称、法定地址、注册资本、实收资本、投资方及其投资比例、组织机构、设计能力、生产能力、关键设备、厂房、人员等；</w:t>
      </w:r>
    </w:p>
    <w:p w14:paraId="17748639">
      <w:pPr>
        <w:pStyle w:val="3"/>
        <w:jc w:val="left"/>
        <w:sectPr>
          <w:pgSz w:w="11906" w:h="16838"/>
          <w:pgMar w:top="1440" w:right="1797" w:bottom="1440" w:left="1797" w:header="851" w:footer="992" w:gutter="0"/>
          <w:cols w:space="425" w:num="1"/>
          <w:docGrid w:linePitch="312" w:charSpace="0"/>
        </w:sectPr>
      </w:pPr>
    </w:p>
    <w:p w14:paraId="61BC0621">
      <w:pPr>
        <w:pStyle w:val="3"/>
        <w:jc w:val="left"/>
      </w:pPr>
      <w:bookmarkStart w:id="242" w:name="_Toc6933453"/>
      <w:bookmarkStart w:id="243" w:name="_Toc7350313"/>
      <w:r>
        <w:rPr>
          <w:rFonts w:hint="eastAsia"/>
        </w:rPr>
        <w:t>二、质量环境安全体系认证</w:t>
      </w:r>
      <w:bookmarkEnd w:id="242"/>
      <w:bookmarkEnd w:id="243"/>
    </w:p>
    <w:p w14:paraId="79650355">
      <w:pPr>
        <w:widowControl/>
        <w:spacing w:line="480" w:lineRule="auto"/>
        <w:jc w:val="left"/>
        <w:rPr>
          <w:b/>
          <w:bCs/>
          <w:spacing w:val="20"/>
          <w:sz w:val="24"/>
        </w:rPr>
        <w:sectPr>
          <w:pgSz w:w="11906" w:h="16838"/>
          <w:pgMar w:top="1440" w:right="1797" w:bottom="1440" w:left="1797" w:header="851" w:footer="992" w:gutter="0"/>
          <w:cols w:space="720" w:num="1"/>
        </w:sectPr>
      </w:pPr>
    </w:p>
    <w:p w14:paraId="1D15FD35">
      <w:pPr>
        <w:pStyle w:val="3"/>
        <w:jc w:val="left"/>
      </w:pPr>
      <w:bookmarkStart w:id="244" w:name="_Toc6933454"/>
      <w:bookmarkStart w:id="245" w:name="_Toc7350314"/>
      <w:r>
        <w:rPr>
          <w:rFonts w:hint="eastAsia"/>
        </w:rPr>
        <w:t>三、上一年度财务报表</w:t>
      </w:r>
      <w:bookmarkEnd w:id="244"/>
      <w:bookmarkEnd w:id="245"/>
    </w:p>
    <w:p w14:paraId="77E2BF4F">
      <w:pPr>
        <w:widowControl/>
        <w:spacing w:line="480" w:lineRule="auto"/>
        <w:jc w:val="left"/>
        <w:rPr>
          <w:b/>
          <w:bCs/>
          <w:spacing w:val="20"/>
          <w:sz w:val="24"/>
        </w:rPr>
        <w:sectPr>
          <w:pgSz w:w="11906" w:h="16838"/>
          <w:pgMar w:top="1440" w:right="1797" w:bottom="1440" w:left="1797" w:header="851" w:footer="992" w:gutter="0"/>
          <w:cols w:space="720" w:num="1"/>
        </w:sectPr>
      </w:pPr>
    </w:p>
    <w:p w14:paraId="56CDD373">
      <w:pPr>
        <w:pStyle w:val="3"/>
        <w:jc w:val="left"/>
      </w:pPr>
      <w:bookmarkStart w:id="246" w:name="_Toc6933455"/>
      <w:bookmarkStart w:id="247" w:name="_Toc7350315"/>
      <w:r>
        <w:rPr>
          <w:rFonts w:hint="eastAsia"/>
        </w:rPr>
        <w:t>四、报价人认为需要提供的其他材料</w:t>
      </w:r>
      <w:bookmarkEnd w:id="246"/>
      <w:bookmarkEnd w:id="247"/>
    </w:p>
    <w:p w14:paraId="3135CA1B"/>
    <w:p w14:paraId="779733CA"/>
    <w:p w14:paraId="7EAABF3F"/>
    <w:p w14:paraId="7777BF42"/>
    <w:p w14:paraId="47F12C0E"/>
    <w:p w14:paraId="0A33F047"/>
    <w:p w14:paraId="05958972"/>
    <w:p w14:paraId="54C68FFD"/>
    <w:p w14:paraId="608EB1E1"/>
    <w:p w14:paraId="5D4ADDD4"/>
    <w:p w14:paraId="1C2CE6BC"/>
    <w:p w14:paraId="019C702D"/>
    <w:p w14:paraId="69881276"/>
    <w:p w14:paraId="24259B3F">
      <w:pPr>
        <w:widowControl/>
        <w:jc w:val="left"/>
        <w:sectPr>
          <w:pgSz w:w="11906" w:h="16838"/>
          <w:pgMar w:top="1440" w:right="1797" w:bottom="1440" w:left="1797" w:header="851" w:footer="992" w:gutter="0"/>
          <w:cols w:space="720" w:num="1"/>
        </w:sectPr>
      </w:pPr>
    </w:p>
    <w:p w14:paraId="3FBA226C">
      <w:pPr>
        <w:widowControl/>
        <w:jc w:val="left"/>
      </w:pPr>
    </w:p>
    <w:p w14:paraId="62C74F5E">
      <w:pPr>
        <w:pStyle w:val="15"/>
        <w:numPr>
          <w:ilvl w:val="1"/>
          <w:numId w:val="2"/>
        </w:numPr>
        <w:ind w:left="0" w:leftChars="0" w:firstLine="0" w:firstLineChars="0"/>
        <w:rPr>
          <w:rFonts w:hint="eastAsia"/>
        </w:rPr>
      </w:pPr>
      <w:bookmarkStart w:id="248" w:name="_Toc7350316"/>
      <w:r>
        <w:rPr>
          <w:rFonts w:hint="eastAsia"/>
        </w:rPr>
        <w:t>技术部分</w:t>
      </w:r>
      <w:bookmarkEnd w:id="248"/>
    </w:p>
    <w:p w14:paraId="6C48CDD8">
      <w:pPr>
        <w:rPr>
          <w:rFonts w:hint="eastAsia"/>
        </w:rPr>
      </w:pPr>
    </w:p>
    <w:p w14:paraId="1C842D91">
      <w:pPr>
        <w:numPr>
          <w:ilvl w:val="0"/>
          <w:numId w:val="0"/>
        </w:numPr>
        <w:tabs>
          <w:tab w:val="left" w:pos="0"/>
        </w:tabs>
        <w:ind w:leftChars="0"/>
        <w:rPr>
          <w:rFonts w:hint="default" w:eastAsia="仿宋"/>
          <w:lang w:val="en-US" w:eastAsia="zh-CN"/>
        </w:rPr>
      </w:pPr>
      <w:r>
        <w:rPr>
          <w:rFonts w:hint="eastAsia"/>
          <w:lang w:val="en-US" w:eastAsia="zh-CN"/>
        </w:rPr>
        <w:t>格式自拟</w:t>
      </w:r>
    </w:p>
    <w:p w14:paraId="133CA397"/>
    <w:p w14:paraId="185C948D">
      <w:pPr>
        <w:rPr>
          <w:rFonts w:hint="eastAsia" w:eastAsia="仿宋"/>
          <w:sz w:val="22"/>
          <w:lang w:eastAsia="zh-CN"/>
        </w:rPr>
      </w:pPr>
    </w:p>
    <w:p w14:paraId="1232DD50">
      <w:pPr>
        <w:rPr>
          <w:rFonts w:hint="eastAsia" w:eastAsia="仿宋"/>
          <w:sz w:val="22"/>
          <w:lang w:eastAsia="zh-CN"/>
        </w:rPr>
      </w:pPr>
    </w:p>
    <w:p w14:paraId="32C7BF8E">
      <w:pPr>
        <w:rPr>
          <w:rFonts w:hint="eastAsia"/>
          <w:sz w:val="22"/>
          <w:lang w:val="en-US" w:eastAsia="zh-CN"/>
        </w:rPr>
      </w:pPr>
      <w:r>
        <w:rPr>
          <w:rFonts w:hint="eastAsia"/>
          <w:sz w:val="22"/>
          <w:lang w:val="en-US" w:eastAsia="zh-CN"/>
        </w:rPr>
        <w:br w:type="page"/>
      </w:r>
    </w:p>
    <w:p w14:paraId="7AE376FA">
      <w:pPr>
        <w:pStyle w:val="2"/>
        <w:numPr>
          <w:ilvl w:val="0"/>
          <w:numId w:val="0"/>
        </w:numPr>
        <w:bidi w:val="0"/>
        <w:ind w:left="402" w:leftChars="0"/>
        <w:rPr>
          <w:rFonts w:hint="eastAsia"/>
          <w:lang w:val="en-US" w:eastAsia="zh-CN"/>
        </w:rPr>
      </w:pPr>
      <w:r>
        <w:rPr>
          <w:rFonts w:hint="eastAsia"/>
          <w:lang w:val="en-US" w:eastAsia="zh-CN"/>
        </w:rPr>
        <w:t>第二卷  技术部分</w:t>
      </w:r>
    </w:p>
    <w:p w14:paraId="0139DD56">
      <w:pPr>
        <w:rPr>
          <w:rFonts w:hint="eastAsia"/>
          <w:lang w:val="en-US" w:eastAsia="zh-CN"/>
        </w:rPr>
      </w:pPr>
      <w:r>
        <w:rPr>
          <w:rFonts w:hint="eastAsia"/>
          <w:lang w:val="en-US" w:eastAsia="zh-CN"/>
        </w:rPr>
        <w:t>采购项目技术需求表</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3"/>
        <w:gridCol w:w="1475"/>
        <w:gridCol w:w="6499"/>
      </w:tblGrid>
      <w:tr w14:paraId="1B4C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003366"/>
            <w:vAlign w:val="center"/>
          </w:tcPr>
          <w:p w14:paraId="6F4115E7">
            <w:pPr>
              <w:jc w:val="center"/>
            </w:pPr>
            <w:r>
              <w:rPr>
                <w:rFonts w:hint="eastAsia" w:ascii="宋体" w:hAnsi="宋体" w:eastAsia="宋体"/>
              </w:rPr>
              <w:br w:type="page"/>
            </w:r>
            <w:r>
              <w:rPr>
                <w:rFonts w:hint="default"/>
                <w:lang w:val="en-US" w:eastAsia="zh-CN"/>
              </w:rPr>
              <w:t>系统功能需求清单</w:t>
            </w:r>
          </w:p>
        </w:tc>
      </w:tr>
      <w:tr w14:paraId="7B3E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EB2E583">
            <w:pPr>
              <w:pStyle w:val="42"/>
              <w:bidi w:val="0"/>
              <w:rPr>
                <w:rFonts w:hint="default"/>
              </w:rPr>
            </w:pPr>
            <w:r>
              <w:rPr>
                <w:rFonts w:hint="default"/>
                <w:lang w:val="en-US" w:eastAsia="zh-CN"/>
              </w:rPr>
              <w:t>一级模块</w:t>
            </w:r>
          </w:p>
        </w:tc>
        <w:tc>
          <w:tcPr>
            <w:tcW w:w="794"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DD7E196">
            <w:pPr>
              <w:pStyle w:val="42"/>
              <w:bidi w:val="0"/>
              <w:rPr>
                <w:rFonts w:hint="default"/>
              </w:rPr>
            </w:pPr>
            <w:r>
              <w:rPr>
                <w:rFonts w:hint="default"/>
                <w:lang w:val="en-US" w:eastAsia="zh-CN"/>
              </w:rPr>
              <w:t>二级模块</w:t>
            </w:r>
          </w:p>
        </w:tc>
        <w:tc>
          <w:tcPr>
            <w:tcW w:w="3498"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719B5C66">
            <w:pPr>
              <w:pStyle w:val="42"/>
              <w:bidi w:val="0"/>
              <w:rPr>
                <w:rFonts w:hint="default"/>
              </w:rPr>
            </w:pPr>
            <w:r>
              <w:rPr>
                <w:rFonts w:hint="default"/>
                <w:lang w:val="en-US" w:eastAsia="zh-CN"/>
              </w:rPr>
              <w:t>功能说明</w:t>
            </w:r>
          </w:p>
        </w:tc>
      </w:tr>
      <w:tr w14:paraId="000F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11C1FE55">
            <w:pPr>
              <w:pStyle w:val="42"/>
              <w:bidi w:val="0"/>
              <w:rPr>
                <w:rFonts w:hint="default"/>
              </w:rPr>
            </w:pPr>
            <w:r>
              <w:rPr>
                <w:rFonts w:hint="default"/>
                <w:lang w:val="en-US" w:eastAsia="zh-CN"/>
              </w:rPr>
              <w:t>业务全流程管控</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507C4DE">
            <w:pPr>
              <w:pStyle w:val="42"/>
              <w:bidi w:val="0"/>
              <w:rPr>
                <w:rFonts w:hint="default"/>
              </w:rPr>
            </w:pPr>
            <w:r>
              <w:rPr>
                <w:rFonts w:hint="default"/>
                <w:lang w:val="en-US" w:eastAsia="zh-CN"/>
              </w:rPr>
              <w:t>报价周期到采购商城闭环</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2D6B94">
            <w:pPr>
              <w:pStyle w:val="42"/>
              <w:bidi w:val="0"/>
              <w:rPr>
                <w:rFonts w:hint="default"/>
              </w:rPr>
            </w:pPr>
            <w:r>
              <w:rPr>
                <w:rFonts w:hint="default"/>
                <w:lang w:val="en-US" w:eastAsia="zh-CN"/>
              </w:rPr>
              <w:t>系统覆盖平台建商品、建周期、维护指导价、供应商报价、平台生成上架结果、采购方商城下单、供应商接单配送、库房入库出库、采购方确认收货、对账报表的完整业务闭环。</w:t>
            </w:r>
          </w:p>
        </w:tc>
      </w:tr>
      <w:tr w14:paraId="027E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1A13BE3">
            <w:pPr>
              <w:pStyle w:val="42"/>
              <w:bidi w:val="0"/>
              <w:rPr>
                <w:rFonts w:hint="default"/>
              </w:rPr>
            </w:pPr>
            <w:r>
              <w:rPr>
                <w:rFonts w:hint="default"/>
                <w:lang w:val="en-US" w:eastAsia="zh-CN"/>
              </w:rPr>
              <w:t>系统体验与模板优化</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173136">
            <w:pPr>
              <w:pStyle w:val="42"/>
              <w:bidi w:val="0"/>
              <w:rPr>
                <w:rFonts w:hint="default"/>
              </w:rPr>
            </w:pPr>
            <w:r>
              <w:rPr>
                <w:rFonts w:hint="default"/>
                <w:lang w:val="en-US" w:eastAsia="zh-CN"/>
              </w:rPr>
              <w:t>操作栏统一样式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FBE8B2">
            <w:pPr>
              <w:pStyle w:val="42"/>
              <w:bidi w:val="0"/>
              <w:rPr>
                <w:rFonts w:hint="default"/>
              </w:rPr>
            </w:pPr>
            <w:r>
              <w:rPr>
                <w:rFonts w:hint="default"/>
                <w:lang w:val="en-US" w:eastAsia="zh-CN"/>
              </w:rPr>
              <w:t>系统内表格操作栏统一按钮间距和固定列样式，避免横向滚动时操作按钮与其他列重叠，提升列表可读性。</w:t>
            </w:r>
          </w:p>
        </w:tc>
      </w:tr>
      <w:tr w14:paraId="0C3C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0E9075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392D">
            <w:pPr>
              <w:pStyle w:val="42"/>
              <w:bidi w:val="0"/>
              <w:rPr>
                <w:rFonts w:hint="default"/>
              </w:rPr>
            </w:pPr>
            <w:r>
              <w:rPr>
                <w:rFonts w:hint="default"/>
                <w:lang w:val="en-US" w:eastAsia="zh-CN"/>
              </w:rPr>
              <w:t>数量与规格分列显示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4C3F">
            <w:pPr>
              <w:pStyle w:val="42"/>
              <w:bidi w:val="0"/>
              <w:rPr>
                <w:rFonts w:hint="default"/>
              </w:rPr>
            </w:pPr>
            <w:r>
              <w:rPr>
                <w:rFonts w:hint="default"/>
                <w:lang w:val="en-US" w:eastAsia="zh-CN"/>
              </w:rPr>
              <w:t>订单、配送、商品明细中的数量字段只显示数量，规格使用独立规格列展示，避免出现数量字段混入规格文本的问题。</w:t>
            </w:r>
          </w:p>
        </w:tc>
      </w:tr>
      <w:tr w14:paraId="1CB9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82493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855C011">
            <w:pPr>
              <w:pStyle w:val="42"/>
              <w:bidi w:val="0"/>
              <w:rPr>
                <w:rFonts w:hint="default"/>
              </w:rPr>
            </w:pPr>
            <w:r>
              <w:rPr>
                <w:rFonts w:hint="default"/>
                <w:lang w:val="en-US" w:eastAsia="zh-CN"/>
              </w:rPr>
              <w:t>供应商货物清单模板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C2B3FE6">
            <w:pPr>
              <w:pStyle w:val="42"/>
              <w:bidi w:val="0"/>
              <w:rPr>
                <w:rFonts w:hint="default"/>
              </w:rPr>
            </w:pPr>
            <w:r>
              <w:rPr>
                <w:rFonts w:hint="default"/>
                <w:lang w:val="en-US" w:eastAsia="zh-CN"/>
              </w:rPr>
              <w:t>供应商打印清单表头为主粮串换食品货物清单，项目名称和订单号一行展示，采购方编号和送货日期一行展示，下方为商品清单。</w:t>
            </w:r>
          </w:p>
        </w:tc>
      </w:tr>
      <w:tr w14:paraId="4D9D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639AD2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1D66">
            <w:pPr>
              <w:pStyle w:val="42"/>
              <w:bidi w:val="0"/>
              <w:rPr>
                <w:rFonts w:hint="default"/>
              </w:rPr>
            </w:pPr>
            <w:r>
              <w:rPr>
                <w:rFonts w:hint="default"/>
                <w:lang w:val="en-US" w:eastAsia="zh-CN"/>
              </w:rPr>
              <w:t>商品贴货码模板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EE5C">
            <w:pPr>
              <w:pStyle w:val="42"/>
              <w:bidi w:val="0"/>
              <w:rPr>
                <w:rFonts w:hint="default"/>
              </w:rPr>
            </w:pPr>
            <w:r>
              <w:rPr>
                <w:rFonts w:hint="default"/>
                <w:lang w:val="en-US" w:eastAsia="zh-CN"/>
              </w:rPr>
              <w:t>供应商按商品明细逐行打印贴货码，二维码内容为订单号，标签突出展示商品名称、数量和库位，适配热敏标签机。</w:t>
            </w:r>
          </w:p>
        </w:tc>
      </w:tr>
      <w:tr w14:paraId="4847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CD11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E67605">
            <w:pPr>
              <w:pStyle w:val="42"/>
              <w:bidi w:val="0"/>
              <w:rPr>
                <w:rFonts w:hint="default"/>
              </w:rPr>
            </w:pPr>
            <w:r>
              <w:rPr>
                <w:rFonts w:hint="default"/>
                <w:lang w:val="en-US" w:eastAsia="zh-CN"/>
              </w:rPr>
              <w:t>库房出库单模板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B437C0">
            <w:pPr>
              <w:pStyle w:val="42"/>
              <w:bidi w:val="0"/>
              <w:rPr>
                <w:rFonts w:hint="default"/>
              </w:rPr>
            </w:pPr>
            <w:r>
              <w:rPr>
                <w:rFonts w:hint="default"/>
                <w:lang w:val="en-US" w:eastAsia="zh-CN"/>
              </w:rPr>
              <w:t>库房出库记录可打印 A4 出库单，展示主粮串换食品出库配送单、项目名称、库位、出库日期、采购方编号、订单号和商品清单。</w:t>
            </w:r>
          </w:p>
        </w:tc>
      </w:tr>
      <w:tr w14:paraId="56476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4A977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207B">
            <w:pPr>
              <w:pStyle w:val="42"/>
              <w:bidi w:val="0"/>
              <w:rPr>
                <w:rFonts w:hint="default"/>
              </w:rPr>
            </w:pPr>
            <w:r>
              <w:rPr>
                <w:rFonts w:hint="default"/>
                <w:lang w:val="en-US" w:eastAsia="zh-CN"/>
              </w:rPr>
              <w:t>测试流转数据清空边界</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103B">
            <w:pPr>
              <w:pStyle w:val="42"/>
              <w:bidi w:val="0"/>
              <w:rPr>
                <w:rFonts w:hint="default"/>
              </w:rPr>
            </w:pPr>
            <w:r>
              <w:rPr>
                <w:rFonts w:hint="default"/>
                <w:lang w:val="en-US" w:eastAsia="zh-CN"/>
              </w:rPr>
              <w:t>清空测试数据时仅清除报价周期、供应商报价、上架结果、订单、配送、库存、出库、对账等流转数据，保留商品、用户、角色、组织、库位和系统配置。</w:t>
            </w:r>
          </w:p>
        </w:tc>
      </w:tr>
      <w:tr w14:paraId="417F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0A6A0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416FDA">
            <w:pPr>
              <w:pStyle w:val="42"/>
              <w:bidi w:val="0"/>
              <w:rPr>
                <w:rFonts w:hint="default"/>
              </w:rPr>
            </w:pPr>
            <w:r>
              <w:rPr>
                <w:rFonts w:hint="default"/>
                <w:lang w:val="en-US" w:eastAsia="zh-CN"/>
              </w:rPr>
              <w:t>管理工作台 - 平台运营总览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FA189C">
            <w:pPr>
              <w:pStyle w:val="42"/>
              <w:bidi w:val="0"/>
              <w:rPr>
                <w:rFonts w:hint="default"/>
              </w:rPr>
            </w:pPr>
            <w:r>
              <w:rPr>
                <w:rFonts w:hint="default"/>
                <w:lang w:val="en-US" w:eastAsia="zh-CN"/>
              </w:rPr>
              <w:t>展示平台订单、商品、供应商、采购方、库存、履约状态等核心指标。平台方登录后可快速看到当前系统运行情况，定位待处理订单、待接单供应商、待入库订单、待出库订单和异常状态。</w:t>
            </w:r>
          </w:p>
        </w:tc>
      </w:tr>
      <w:tr w14:paraId="29B9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87D8D0">
            <w:pPr>
              <w:pStyle w:val="42"/>
              <w:bidi w:val="0"/>
              <w:rPr>
                <w:rFonts w:hint="default"/>
              </w:rPr>
            </w:pPr>
            <w:r>
              <w:rPr>
                <w:rFonts w:hint="default"/>
                <w:lang w:val="en-US" w:eastAsia="zh-CN"/>
              </w:rPr>
              <w:t>系统管理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8A29">
            <w:pPr>
              <w:pStyle w:val="42"/>
              <w:bidi w:val="0"/>
              <w:rPr>
                <w:rFonts w:hint="default"/>
              </w:rPr>
            </w:pPr>
            <w:r>
              <w:rPr>
                <w:rFonts w:hint="default"/>
                <w:lang w:val="en-US" w:eastAsia="zh-CN"/>
              </w:rPr>
              <w:t>系统管理 - 用户管理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9F47">
            <w:pPr>
              <w:pStyle w:val="42"/>
              <w:bidi w:val="0"/>
              <w:rPr>
                <w:rFonts w:hint="default"/>
              </w:rPr>
            </w:pPr>
            <w:r>
              <w:rPr>
                <w:rFonts w:hint="default"/>
                <w:lang w:val="en-US" w:eastAsia="zh-CN"/>
              </w:rPr>
              <w:t>新增、编辑、启用、停用用户，维护用户名、姓名、手机号、组织类型、采购方单位编号、供应商组织、角色和密码。用户管理中不再使用“所属组织”字段。</w:t>
            </w:r>
          </w:p>
        </w:tc>
      </w:tr>
      <w:tr w14:paraId="4B35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9E3C4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626DB3">
            <w:pPr>
              <w:pStyle w:val="42"/>
              <w:bidi w:val="0"/>
              <w:rPr>
                <w:rFonts w:hint="default"/>
              </w:rPr>
            </w:pPr>
            <w:r>
              <w:rPr>
                <w:rFonts w:hint="default"/>
                <w:lang w:val="en-US" w:eastAsia="zh-CN"/>
              </w:rPr>
              <w:t>系统管理 - 角色管理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F69527">
            <w:pPr>
              <w:pStyle w:val="42"/>
              <w:bidi w:val="0"/>
              <w:rPr>
                <w:rFonts w:hint="default"/>
              </w:rPr>
            </w:pPr>
            <w:r>
              <w:rPr>
                <w:rFonts w:hint="default"/>
                <w:lang w:val="en-US" w:eastAsia="zh-CN"/>
              </w:rPr>
              <w:t>维护角色名称、角色编码、状态、数据范围和可见菜单。角色决定用户能看到哪些菜单和能操作哪些业务。</w:t>
            </w:r>
          </w:p>
        </w:tc>
      </w:tr>
      <w:tr w14:paraId="0DBA2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02075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2A21">
            <w:pPr>
              <w:pStyle w:val="42"/>
              <w:bidi w:val="0"/>
              <w:rPr>
                <w:rFonts w:hint="default"/>
              </w:rPr>
            </w:pPr>
            <w:r>
              <w:rPr>
                <w:rFonts w:hint="default"/>
                <w:lang w:val="en-US" w:eastAsia="zh-CN"/>
              </w:rPr>
              <w:t>系统管理 - 供应商组织</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6EFB">
            <w:pPr>
              <w:pStyle w:val="42"/>
              <w:bidi w:val="0"/>
              <w:rPr>
                <w:rFonts w:hint="default"/>
              </w:rPr>
            </w:pPr>
            <w:r>
              <w:rPr>
                <w:rFonts w:hint="default"/>
                <w:lang w:val="en-US" w:eastAsia="zh-CN"/>
              </w:rPr>
              <w:t>维护供应商组织名称、联系人、电话、地址、状态和账号数量。供应商账号必须绑定供应商组织，报价和订单按组织隔离。</w:t>
            </w:r>
          </w:p>
        </w:tc>
      </w:tr>
      <w:tr w14:paraId="65DC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69A32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28EDD3">
            <w:pPr>
              <w:pStyle w:val="42"/>
              <w:bidi w:val="0"/>
              <w:rPr>
                <w:rFonts w:hint="default"/>
              </w:rPr>
            </w:pPr>
            <w:r>
              <w:rPr>
                <w:rFonts w:hint="default"/>
                <w:lang w:val="en-US" w:eastAsia="zh-CN"/>
              </w:rPr>
              <w:t>系统管理 - 库位管理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F1F172">
            <w:pPr>
              <w:pStyle w:val="42"/>
              <w:bidi w:val="0"/>
              <w:rPr>
                <w:rFonts w:hint="default"/>
              </w:rPr>
            </w:pPr>
            <w:r>
              <w:rPr>
                <w:rFonts w:hint="default"/>
                <w:lang w:val="en-US" w:eastAsia="zh-CN"/>
              </w:rPr>
              <w:t>平台方维护库区、货道、库号、温区和状态。同一库房库号不能重复。示例：A库房-3道-5库-冷冻。</w:t>
            </w:r>
          </w:p>
        </w:tc>
      </w:tr>
      <w:tr w14:paraId="76C1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B5C1B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B414">
            <w:pPr>
              <w:pStyle w:val="42"/>
              <w:bidi w:val="0"/>
              <w:rPr>
                <w:rFonts w:hint="default"/>
              </w:rPr>
            </w:pPr>
            <w:r>
              <w:rPr>
                <w:rFonts w:hint="default"/>
                <w:lang w:val="en-US" w:eastAsia="zh-CN"/>
              </w:rPr>
              <w:t>系统管理 - 采购方编码与库位绑定</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78ED">
            <w:pPr>
              <w:pStyle w:val="42"/>
              <w:bidi w:val="0"/>
              <w:rPr>
                <w:rFonts w:hint="default"/>
              </w:rPr>
            </w:pPr>
            <w:r>
              <w:rPr>
                <w:rFonts w:hint="default"/>
                <w:lang w:val="en-US" w:eastAsia="zh-CN"/>
              </w:rPr>
              <w:t>维护采购方单位编号，并为该采购方绑定常温、冷藏、冷冻三类库位。采购方下单后按商品温区自动进入对应库位。</w:t>
            </w:r>
          </w:p>
        </w:tc>
      </w:tr>
      <w:tr w14:paraId="2328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0EBB0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86D371">
            <w:pPr>
              <w:pStyle w:val="42"/>
              <w:bidi w:val="0"/>
              <w:rPr>
                <w:rFonts w:hint="default"/>
              </w:rPr>
            </w:pPr>
            <w:r>
              <w:rPr>
                <w:rFonts w:hint="default"/>
                <w:lang w:val="en-US" w:eastAsia="zh-CN"/>
              </w:rPr>
              <w:t>系统管理 - 系统配置</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E7436E">
            <w:pPr>
              <w:pStyle w:val="42"/>
              <w:bidi w:val="0"/>
              <w:rPr>
                <w:rFonts w:hint="default"/>
              </w:rPr>
            </w:pPr>
            <w:r>
              <w:rPr>
                <w:rFonts w:hint="default"/>
                <w:lang w:val="en-US" w:eastAsia="zh-CN"/>
              </w:rPr>
              <w:t>维护供应商接单时限、首页配送时间提醒文案、自动确认收货时限等可配置参数，减少硬编码。</w:t>
            </w:r>
          </w:p>
        </w:tc>
      </w:tr>
      <w:tr w14:paraId="11954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51E21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4E99">
            <w:pPr>
              <w:pStyle w:val="42"/>
              <w:bidi w:val="0"/>
              <w:rPr>
                <w:rFonts w:hint="default"/>
              </w:rPr>
            </w:pPr>
            <w:r>
              <w:rPr>
                <w:rFonts w:hint="default"/>
                <w:lang w:val="en-US" w:eastAsia="zh-CN"/>
              </w:rPr>
              <w:t>系统管理 - 审计日志</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C135">
            <w:pPr>
              <w:pStyle w:val="42"/>
              <w:bidi w:val="0"/>
              <w:rPr>
                <w:rFonts w:hint="default"/>
              </w:rPr>
            </w:pPr>
            <w:r>
              <w:rPr>
                <w:rFonts w:hint="default"/>
                <w:lang w:val="en-US" w:eastAsia="zh-CN"/>
              </w:rPr>
              <w:t>查看用户登录、商品维护、报价维护、订单操作、库存变更、系统配置变更等关键操作日志。</w:t>
            </w:r>
          </w:p>
        </w:tc>
      </w:tr>
      <w:tr w14:paraId="278D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B7921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316EF25">
            <w:pPr>
              <w:pStyle w:val="42"/>
              <w:bidi w:val="0"/>
              <w:rPr>
                <w:rFonts w:hint="default"/>
              </w:rPr>
            </w:pPr>
            <w:r>
              <w:rPr>
                <w:rFonts w:hint="default"/>
                <w:lang w:val="en-US" w:eastAsia="zh-CN"/>
              </w:rPr>
              <w:t>管理工作台 - 供应商概览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5B65840">
            <w:pPr>
              <w:pStyle w:val="42"/>
              <w:bidi w:val="0"/>
              <w:rPr>
                <w:rFonts w:hint="default"/>
              </w:rPr>
            </w:pPr>
            <w:r>
              <w:rPr>
                <w:rFonts w:hint="default"/>
                <w:lang w:val="en-US" w:eastAsia="zh-CN"/>
              </w:rPr>
              <w:t>供应商登录后查看本供应商组织的报价周期、待接单订单、配送中订单、已完成订单、对账金额和业务提示。</w:t>
            </w:r>
          </w:p>
        </w:tc>
      </w:tr>
      <w:tr w14:paraId="587C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4EC98910">
            <w:pPr>
              <w:pStyle w:val="42"/>
              <w:bidi w:val="0"/>
              <w:rPr>
                <w:rFonts w:hint="default"/>
              </w:rPr>
            </w:pPr>
            <w:r>
              <w:rPr>
                <w:rFonts w:hint="default"/>
                <w:lang w:val="en-US" w:eastAsia="zh-CN"/>
              </w:rPr>
              <w:t>数据安全与权限管控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EFCA">
            <w:pPr>
              <w:pStyle w:val="42"/>
              <w:bidi w:val="0"/>
              <w:rPr>
                <w:rFonts w:hint="default"/>
              </w:rPr>
            </w:pPr>
            <w:r>
              <w:rPr>
                <w:rFonts w:hint="default"/>
                <w:lang w:val="en-US" w:eastAsia="zh-CN"/>
              </w:rPr>
              <w:t>采购方信息脱敏</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CCC9">
            <w:pPr>
              <w:pStyle w:val="42"/>
              <w:bidi w:val="0"/>
              <w:rPr>
                <w:rFonts w:hint="default"/>
              </w:rPr>
            </w:pPr>
            <w:r>
              <w:rPr>
                <w:rFonts w:hint="default"/>
                <w:lang w:val="en-US" w:eastAsia="zh-CN"/>
              </w:rPr>
              <w:t>采购方商城、购物车、订单列表和订单详情不展示供应商名称、供应商组织、供应商报价、内部库房方字段、收货人、联系电话和收货地址。</w:t>
            </w:r>
          </w:p>
        </w:tc>
      </w:tr>
      <w:tr w14:paraId="334F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D258FDC">
            <w:pPr>
              <w:pStyle w:val="42"/>
              <w:bidi w:val="0"/>
              <w:rPr>
                <w:rFonts w:hint="default"/>
              </w:rPr>
            </w:pPr>
            <w:r>
              <w:rPr>
                <w:rFonts w:hint="default"/>
                <w:lang w:val="en-US" w:eastAsia="zh-CN"/>
              </w:rPr>
              <w:t>商品档案管理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4BB46">
            <w:pPr>
              <w:pStyle w:val="42"/>
              <w:bidi w:val="0"/>
              <w:rPr>
                <w:rFonts w:hint="default"/>
              </w:rPr>
            </w:pPr>
            <w:r>
              <w:rPr>
                <w:rFonts w:hint="default"/>
                <w:lang w:val="en-US" w:eastAsia="zh-CN"/>
              </w:rPr>
              <w:t>商品档案 - 一级分类维护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6552">
            <w:pPr>
              <w:pStyle w:val="42"/>
              <w:bidi w:val="0"/>
              <w:rPr>
                <w:rFonts w:hint="default"/>
              </w:rPr>
            </w:pPr>
            <w:r>
              <w:rPr>
                <w:rFonts w:hint="default"/>
                <w:lang w:val="en-US" w:eastAsia="zh-CN"/>
              </w:rPr>
              <w:t>平台方维护商品一级分类，包括分类名称、排序、状态和对应商品范围。一级分类用于 PC/H5 分类导航、商品检索、报价周期商品筛选和库存台账分类树。</w:t>
            </w:r>
          </w:p>
        </w:tc>
      </w:tr>
      <w:tr w14:paraId="5A5A3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AA92D1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D5E85F8">
            <w:pPr>
              <w:pStyle w:val="42"/>
              <w:bidi w:val="0"/>
              <w:rPr>
                <w:rFonts w:hint="default"/>
              </w:rPr>
            </w:pPr>
            <w:r>
              <w:rPr>
                <w:rFonts w:hint="default"/>
                <w:lang w:val="en-US" w:eastAsia="zh-CN"/>
              </w:rPr>
              <w:t>商品档案 - 二级分类维护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B2C13">
            <w:pPr>
              <w:pStyle w:val="42"/>
              <w:bidi w:val="0"/>
              <w:rPr>
                <w:rFonts w:hint="default"/>
              </w:rPr>
            </w:pPr>
            <w:r>
              <w:rPr>
                <w:rFonts w:hint="default"/>
                <w:lang w:val="en-US" w:eastAsia="zh-CN"/>
              </w:rPr>
              <w:t>平台方在一级分类下维护二级分类。移动端分类页左侧为一级分类，右侧为二级分类，点击二级分类进入对应商品列表。商品必须归属到具体二级分类，避免移动端只显示单一默认分类。</w:t>
            </w:r>
          </w:p>
        </w:tc>
      </w:tr>
      <w:tr w14:paraId="1CC7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52B43D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33FE">
            <w:pPr>
              <w:pStyle w:val="42"/>
              <w:bidi w:val="0"/>
              <w:rPr>
                <w:rFonts w:hint="default"/>
              </w:rPr>
            </w:pPr>
            <w:r>
              <w:rPr>
                <w:rFonts w:hint="default"/>
                <w:lang w:val="en-US" w:eastAsia="zh-CN"/>
              </w:rPr>
              <w:t>商品档案 - 商品基础资料维护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A316">
            <w:pPr>
              <w:pStyle w:val="42"/>
              <w:bidi w:val="0"/>
              <w:rPr>
                <w:rFonts w:hint="default"/>
              </w:rPr>
            </w:pPr>
            <w:r>
              <w:rPr>
                <w:rFonts w:hint="default"/>
                <w:lang w:val="en-US" w:eastAsia="zh-CN"/>
              </w:rPr>
              <w:t>维护商品编码、商品名称、品牌、规格、单位、包装说明、执行标准、备注、温区标识、分类归属和状态。商品资料是供应商报价、商城展示、订单明细、库存台账和报表统计的基础数据。</w:t>
            </w:r>
          </w:p>
        </w:tc>
      </w:tr>
      <w:tr w14:paraId="2734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1C6CF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E69AF6">
            <w:pPr>
              <w:pStyle w:val="42"/>
              <w:bidi w:val="0"/>
              <w:rPr>
                <w:rFonts w:hint="default"/>
              </w:rPr>
            </w:pPr>
            <w:r>
              <w:rPr>
                <w:rFonts w:hint="default"/>
                <w:lang w:val="en-US" w:eastAsia="zh-CN"/>
              </w:rPr>
              <w:t>商品档案 - SKU 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69610F">
            <w:pPr>
              <w:pStyle w:val="42"/>
              <w:bidi w:val="0"/>
              <w:rPr>
                <w:rFonts w:hint="default"/>
              </w:rPr>
            </w:pPr>
            <w:r>
              <w:rPr>
                <w:rFonts w:hint="default"/>
                <w:lang w:val="en-US" w:eastAsia="zh-CN"/>
              </w:rPr>
              <w:t>维护商品规格 SKU，包括 SKU 编码、规格名称、单位、状态和排序。SKU 是报价、上架、库存和订单明细的最小业务单位，供应商报价和采购方下单都基于 SKU。</w:t>
            </w:r>
          </w:p>
        </w:tc>
      </w:tr>
      <w:tr w14:paraId="2CC3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0D010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965E">
            <w:pPr>
              <w:pStyle w:val="42"/>
              <w:bidi w:val="0"/>
              <w:rPr>
                <w:rFonts w:hint="default"/>
              </w:rPr>
            </w:pPr>
            <w:r>
              <w:rPr>
                <w:rFonts w:hint="default"/>
                <w:lang w:val="en-US" w:eastAsia="zh-CN"/>
              </w:rPr>
              <w:t>商品档案 - 商品温区标识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78A6">
            <w:pPr>
              <w:pStyle w:val="42"/>
              <w:bidi w:val="0"/>
              <w:rPr>
                <w:rFonts w:hint="default"/>
              </w:rPr>
            </w:pPr>
            <w:r>
              <w:rPr>
                <w:rFonts w:hint="default"/>
                <w:lang w:val="en-US" w:eastAsia="zh-CN"/>
              </w:rPr>
              <w:t>为商品设置 W 常温、C 冷藏、D 冷冻。采购方下单后，库房入库根据商品温区和采购方单位编号自动路由到对应库位。</w:t>
            </w:r>
          </w:p>
        </w:tc>
      </w:tr>
      <w:tr w14:paraId="7C8A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1F973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7FF420">
            <w:pPr>
              <w:pStyle w:val="42"/>
              <w:bidi w:val="0"/>
              <w:rPr>
                <w:rFonts w:hint="default"/>
              </w:rPr>
            </w:pPr>
            <w:r>
              <w:rPr>
                <w:rFonts w:hint="default"/>
                <w:lang w:val="en-US" w:eastAsia="zh-CN"/>
              </w:rPr>
              <w:t>商品档案 - 商品图片上传</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27A099">
            <w:pPr>
              <w:pStyle w:val="42"/>
              <w:bidi w:val="0"/>
              <w:rPr>
                <w:rFonts w:hint="default"/>
              </w:rPr>
            </w:pPr>
            <w:r>
              <w:rPr>
                <w:rFonts w:hint="default"/>
                <w:lang w:val="en-US" w:eastAsia="zh-CN"/>
              </w:rPr>
              <w:t>商品操作栏提供配图上传按钮。上传后 PC 商城、移动商城、商品详情和推荐商品中使用该图片。图片地址需要兼容本地环境和线上服务器访问路径。</w:t>
            </w:r>
          </w:p>
        </w:tc>
      </w:tr>
      <w:tr w14:paraId="0C99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E3690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2F92">
            <w:pPr>
              <w:pStyle w:val="42"/>
              <w:bidi w:val="0"/>
              <w:rPr>
                <w:rFonts w:hint="default"/>
              </w:rPr>
            </w:pPr>
            <w:r>
              <w:rPr>
                <w:rFonts w:hint="default"/>
                <w:lang w:val="en-US" w:eastAsia="zh-CN"/>
              </w:rPr>
              <w:t>商品档案 - 使用默认配图</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94C38">
            <w:pPr>
              <w:pStyle w:val="42"/>
              <w:bidi w:val="0"/>
              <w:rPr>
                <w:rFonts w:hint="default"/>
              </w:rPr>
            </w:pPr>
            <w:r>
              <w:rPr>
                <w:rFonts w:hint="default"/>
                <w:lang w:val="en-US" w:eastAsia="zh-CN"/>
              </w:rPr>
              <w:t>平台方可为商品使用系统默认配图，替换当前图片。默认配图用于保证商品在 PC/H5 页面不出现空白图。</w:t>
            </w:r>
          </w:p>
        </w:tc>
      </w:tr>
      <w:tr w14:paraId="5101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6F499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A0264E">
            <w:pPr>
              <w:pStyle w:val="42"/>
              <w:bidi w:val="0"/>
              <w:rPr>
                <w:rFonts w:hint="default"/>
              </w:rPr>
            </w:pPr>
            <w:r>
              <w:rPr>
                <w:rFonts w:hint="default"/>
                <w:lang w:val="en-US" w:eastAsia="zh-CN"/>
              </w:rPr>
              <w:t>商品档案 - 商品导入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EC140B">
            <w:pPr>
              <w:pStyle w:val="42"/>
              <w:bidi w:val="0"/>
              <w:rPr>
                <w:rFonts w:hint="default"/>
              </w:rPr>
            </w:pPr>
            <w:r>
              <w:rPr>
                <w:rFonts w:hint="default"/>
                <w:lang w:val="en-US" w:eastAsia="zh-CN"/>
              </w:rPr>
              <w:t>支持按 Excel 商品清单重新导入商品，并导入对应图片。可用于初始化商品库、替换历史测试商品、批量更新商品字段。</w:t>
            </w:r>
          </w:p>
        </w:tc>
      </w:tr>
      <w:tr w14:paraId="29D1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34BFD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A11D">
            <w:pPr>
              <w:pStyle w:val="42"/>
              <w:bidi w:val="0"/>
              <w:rPr>
                <w:rFonts w:hint="default"/>
              </w:rPr>
            </w:pPr>
            <w:r>
              <w:rPr>
                <w:rFonts w:hint="default"/>
                <w:lang w:val="en-US" w:eastAsia="zh-CN"/>
              </w:rPr>
              <w:t>商品档案 - 商品上下架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228">
            <w:pPr>
              <w:pStyle w:val="42"/>
              <w:bidi w:val="0"/>
              <w:rPr>
                <w:rFonts w:hint="default"/>
              </w:rPr>
            </w:pPr>
            <w:r>
              <w:rPr>
                <w:rFonts w:hint="default"/>
                <w:lang w:val="en-US" w:eastAsia="zh-CN"/>
              </w:rPr>
              <w:t>平台方可启用或停用商品。停用后不参与新报价周期和新上架结果，但不影响历史订单追溯。</w:t>
            </w:r>
          </w:p>
        </w:tc>
      </w:tr>
      <w:tr w14:paraId="363C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5EFC904F">
            <w:pPr>
              <w:pStyle w:val="42"/>
              <w:bidi w:val="0"/>
              <w:rPr>
                <w:rFonts w:hint="default"/>
              </w:rPr>
            </w:pPr>
            <w:r>
              <w:rPr>
                <w:rFonts w:hint="default"/>
                <w:lang w:val="en-US" w:eastAsia="zh-CN"/>
              </w:rPr>
              <w:t>前端商城与用户端管理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04A9">
            <w:pPr>
              <w:pStyle w:val="42"/>
              <w:bidi w:val="0"/>
              <w:rPr>
                <w:rFonts w:hint="default"/>
              </w:rPr>
            </w:pPr>
            <w:r>
              <w:rPr>
                <w:rFonts w:hint="default"/>
                <w:lang w:val="en-US" w:eastAsia="zh-CN"/>
              </w:rPr>
              <w:t>移动运营位 - 轮播图维护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ACA86A">
            <w:pPr>
              <w:pStyle w:val="42"/>
              <w:bidi w:val="0"/>
              <w:rPr>
                <w:rFonts w:hint="default"/>
              </w:rPr>
            </w:pPr>
            <w:r>
              <w:rPr>
                <w:rFonts w:hint="default"/>
                <w:lang w:val="en-US" w:eastAsia="zh-CN"/>
              </w:rPr>
              <w:t>平台方维护移动端首页轮播图，包括图片、标题、副标题、角标、跳转类型、跳转目标、排序和状态。</w:t>
            </w:r>
          </w:p>
        </w:tc>
      </w:tr>
      <w:tr w14:paraId="3216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ABCF7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2D5DB">
            <w:pPr>
              <w:pStyle w:val="42"/>
              <w:bidi w:val="0"/>
              <w:rPr>
                <w:rFonts w:hint="default"/>
              </w:rPr>
            </w:pPr>
            <w:r>
              <w:rPr>
                <w:rFonts w:hint="default"/>
                <w:lang w:val="en-US" w:eastAsia="zh-CN"/>
              </w:rPr>
              <w:t>移动运营位 - 推荐商品维护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9DE6">
            <w:pPr>
              <w:pStyle w:val="42"/>
              <w:bidi w:val="0"/>
              <w:rPr>
                <w:rFonts w:hint="default"/>
              </w:rPr>
            </w:pPr>
            <w:r>
              <w:rPr>
                <w:rFonts w:hint="default"/>
                <w:lang w:val="en-US" w:eastAsia="zh-CN"/>
              </w:rPr>
              <w:t>平台方选择当前可售商品作为移动端推荐商品，可维护推荐顺序和启用状态。推荐商品必须来自有效报价周期内的上架商品。</w:t>
            </w:r>
          </w:p>
        </w:tc>
      </w:tr>
      <w:tr w14:paraId="0873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A0AF4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4273">
            <w:pPr>
              <w:pStyle w:val="42"/>
              <w:bidi w:val="0"/>
              <w:rPr>
                <w:rFonts w:hint="default"/>
              </w:rPr>
            </w:pPr>
            <w:r>
              <w:rPr>
                <w:rFonts w:hint="default"/>
                <w:lang w:val="en-US" w:eastAsia="zh-CN"/>
              </w:rPr>
              <w:t>PC 商城 - 首页商品展示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9FCA">
            <w:pPr>
              <w:pStyle w:val="42"/>
              <w:bidi w:val="0"/>
              <w:rPr>
                <w:rFonts w:hint="default"/>
              </w:rPr>
            </w:pPr>
            <w:r>
              <w:rPr>
                <w:rFonts w:hint="default"/>
                <w:lang w:val="en-US" w:eastAsia="zh-CN"/>
              </w:rPr>
              <w:t>PC 首页面向采购方展示可售商品，包含分类、搜索、推荐、商品卡片、商品图片、采购方上架价和库存数量。</w:t>
            </w:r>
          </w:p>
        </w:tc>
      </w:tr>
      <w:tr w14:paraId="166A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94B46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DB698AD">
            <w:pPr>
              <w:pStyle w:val="42"/>
              <w:bidi w:val="0"/>
              <w:rPr>
                <w:rFonts w:hint="default"/>
              </w:rPr>
            </w:pPr>
            <w:r>
              <w:rPr>
                <w:rFonts w:hint="default"/>
                <w:lang w:val="en-US" w:eastAsia="zh-CN"/>
              </w:rPr>
              <w:t>PC 商城 - 配送时间提醒</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2775CD">
            <w:pPr>
              <w:pStyle w:val="42"/>
              <w:bidi w:val="0"/>
              <w:rPr>
                <w:rFonts w:hint="default"/>
              </w:rPr>
            </w:pPr>
            <w:r>
              <w:rPr>
                <w:rFonts w:hint="default"/>
                <w:lang w:val="en-US" w:eastAsia="zh-CN"/>
              </w:rPr>
              <w:t>首页展示由系统配置维护的配送时间提醒文案，例如当日 18 点前后下单的配送时间计算规则。</w:t>
            </w:r>
          </w:p>
        </w:tc>
      </w:tr>
      <w:tr w14:paraId="5765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CD1ED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54EA">
            <w:pPr>
              <w:pStyle w:val="42"/>
              <w:bidi w:val="0"/>
              <w:rPr>
                <w:rFonts w:hint="default"/>
              </w:rPr>
            </w:pPr>
            <w:r>
              <w:rPr>
                <w:rFonts w:hint="default"/>
                <w:lang w:val="en-US" w:eastAsia="zh-CN"/>
              </w:rPr>
              <w:t>PC 商城 - 商品搜索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1AE4">
            <w:pPr>
              <w:pStyle w:val="42"/>
              <w:bidi w:val="0"/>
              <w:rPr>
                <w:rFonts w:hint="default"/>
              </w:rPr>
            </w:pPr>
            <w:r>
              <w:rPr>
                <w:rFonts w:hint="default"/>
                <w:lang w:val="en-US" w:eastAsia="zh-CN"/>
              </w:rPr>
              <w:t>采购方可按商品名称、规格、分类等条件搜索商品。系统只展示当前报价有效期内、已生成上架结果、有库存的商品。</w:t>
            </w:r>
          </w:p>
        </w:tc>
      </w:tr>
      <w:tr w14:paraId="702D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6936C7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D6BBB6">
            <w:pPr>
              <w:pStyle w:val="42"/>
              <w:bidi w:val="0"/>
              <w:rPr>
                <w:rFonts w:hint="default"/>
              </w:rPr>
            </w:pPr>
            <w:r>
              <w:rPr>
                <w:rFonts w:hint="default"/>
                <w:lang w:val="en-US" w:eastAsia="zh-CN"/>
              </w:rPr>
              <w:t>PC 商城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ABB6">
            <w:pPr>
              <w:pStyle w:val="42"/>
              <w:bidi w:val="0"/>
              <w:rPr>
                <w:rFonts w:hint="default"/>
              </w:rPr>
            </w:pPr>
            <w:r>
              <w:rPr>
                <w:rFonts w:hint="default"/>
                <w:lang w:val="en-US" w:eastAsia="zh-CN"/>
              </w:rPr>
              <w:t>采购方点击商品进入详情，查看商品图片、名称、规格、单位、采购方上架价、库存数量和商品说明。详情不展示供应商名称。</w:t>
            </w:r>
          </w:p>
        </w:tc>
      </w:tr>
      <w:tr w14:paraId="2A23E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B82A9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9CC3">
            <w:pPr>
              <w:pStyle w:val="42"/>
              <w:bidi w:val="0"/>
              <w:rPr>
                <w:rFonts w:hint="default"/>
              </w:rPr>
            </w:pPr>
            <w:r>
              <w:rPr>
                <w:rFonts w:hint="default"/>
                <w:lang w:val="en-US" w:eastAsia="zh-CN"/>
              </w:rPr>
              <w:t>PC 商城 - 加入购物车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9C82">
            <w:pPr>
              <w:pStyle w:val="42"/>
              <w:bidi w:val="0"/>
              <w:rPr>
                <w:rFonts w:hint="default"/>
              </w:rPr>
            </w:pPr>
            <w:r>
              <w:rPr>
                <w:rFonts w:hint="default"/>
                <w:lang w:val="en-US" w:eastAsia="zh-CN"/>
              </w:rPr>
              <w:t>采购方在商品卡片或商品详情中选择数量加入购物车。数量不能超过当前可售库存。</w:t>
            </w:r>
          </w:p>
        </w:tc>
      </w:tr>
      <w:tr w14:paraId="4E81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58246D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CC87C37">
            <w:pPr>
              <w:pStyle w:val="42"/>
              <w:bidi w:val="0"/>
              <w:rPr>
                <w:rFonts w:hint="default"/>
              </w:rPr>
            </w:pPr>
            <w:r>
              <w:rPr>
                <w:rFonts w:hint="default"/>
                <w:lang w:val="en-US" w:eastAsia="zh-CN"/>
              </w:rPr>
              <w:t>PC 商城 - 购物车结算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35C19E7">
            <w:pPr>
              <w:pStyle w:val="42"/>
              <w:bidi w:val="0"/>
              <w:rPr>
                <w:rFonts w:hint="default"/>
              </w:rPr>
            </w:pPr>
            <w:r>
              <w:rPr>
                <w:rFonts w:hint="default"/>
                <w:lang w:val="en-US" w:eastAsia="zh-CN"/>
              </w:rPr>
              <w:t>采购方在购物车中调整数量、删除商品、查看总金额并提交订单。订单默认送达平台统一库房，不填写收货人、电话和地址。</w:t>
            </w:r>
          </w:p>
        </w:tc>
      </w:tr>
      <w:tr w14:paraId="15A4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D0EA1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4158">
            <w:pPr>
              <w:pStyle w:val="42"/>
              <w:bidi w:val="0"/>
              <w:rPr>
                <w:rFonts w:hint="default"/>
              </w:rPr>
            </w:pPr>
            <w:r>
              <w:rPr>
                <w:rFonts w:hint="default"/>
                <w:lang w:val="en-US" w:eastAsia="zh-CN"/>
              </w:rPr>
              <w:t>移动 H5 - 移动登录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9CA4">
            <w:pPr>
              <w:pStyle w:val="42"/>
              <w:bidi w:val="0"/>
              <w:rPr>
                <w:rFonts w:hint="default"/>
              </w:rPr>
            </w:pPr>
            <w:r>
              <w:rPr>
                <w:rFonts w:hint="default"/>
                <w:lang w:val="en-US" w:eastAsia="zh-CN"/>
              </w:rPr>
              <w:t>采购方可在移动端独立登录页输入账号密码登录，移动端与 PC 端使用同一账号和权限体系。</w:t>
            </w:r>
          </w:p>
        </w:tc>
      </w:tr>
      <w:tr w14:paraId="1371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CA549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3BF52FF">
            <w:pPr>
              <w:pStyle w:val="42"/>
              <w:bidi w:val="0"/>
              <w:rPr>
                <w:rFonts w:hint="default"/>
              </w:rPr>
            </w:pPr>
            <w:r>
              <w:rPr>
                <w:rFonts w:hint="default"/>
                <w:lang w:val="en-US" w:eastAsia="zh-CN"/>
              </w:rPr>
              <w:t>移动 H5 - 首页轮播</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F37FE0">
            <w:pPr>
              <w:pStyle w:val="42"/>
              <w:bidi w:val="0"/>
              <w:rPr>
                <w:rFonts w:hint="default"/>
              </w:rPr>
            </w:pPr>
            <w:r>
              <w:rPr>
                <w:rFonts w:hint="default"/>
                <w:lang w:val="en-US" w:eastAsia="zh-CN"/>
              </w:rPr>
              <w:t>移动首页展示平台方配置的轮播图和运营内容，适合手机端浏览和快速进入商品。</w:t>
            </w:r>
          </w:p>
        </w:tc>
      </w:tr>
      <w:tr w14:paraId="5024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ABF3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0F73">
            <w:pPr>
              <w:pStyle w:val="42"/>
              <w:bidi w:val="0"/>
              <w:rPr>
                <w:rFonts w:hint="default"/>
              </w:rPr>
            </w:pPr>
            <w:r>
              <w:rPr>
                <w:rFonts w:hint="default"/>
                <w:lang w:val="en-US" w:eastAsia="zh-CN"/>
              </w:rPr>
              <w:t>移动 H5 - 推荐商品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6875">
            <w:pPr>
              <w:pStyle w:val="42"/>
              <w:bidi w:val="0"/>
              <w:rPr>
                <w:rFonts w:hint="default"/>
              </w:rPr>
            </w:pPr>
            <w:r>
              <w:rPr>
                <w:rFonts w:hint="default"/>
                <w:lang w:val="en-US" w:eastAsia="zh-CN"/>
              </w:rPr>
              <w:t>移动首页展示推荐商品，采购方可点击进入详情或加入购物车。推荐商品同样只展示采购方上架价和库存。</w:t>
            </w:r>
          </w:p>
        </w:tc>
      </w:tr>
      <w:tr w14:paraId="5A52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7794B7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AA4AED">
            <w:pPr>
              <w:pStyle w:val="42"/>
              <w:bidi w:val="0"/>
              <w:rPr>
                <w:rFonts w:hint="default"/>
              </w:rPr>
            </w:pPr>
            <w:r>
              <w:rPr>
                <w:rFonts w:hint="default"/>
                <w:lang w:val="en-US" w:eastAsia="zh-CN"/>
              </w:rPr>
              <w:t>移动 H5 - 分类页</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9410E9">
            <w:pPr>
              <w:pStyle w:val="42"/>
              <w:bidi w:val="0"/>
              <w:rPr>
                <w:rFonts w:hint="default"/>
              </w:rPr>
            </w:pPr>
            <w:r>
              <w:rPr>
                <w:rFonts w:hint="default"/>
                <w:lang w:val="en-US" w:eastAsia="zh-CN"/>
              </w:rPr>
              <w:t>左侧展示一级分类，右侧展示二级分类。点击二级分类后进入对应商品列表，商品分类来自平台方商品档案。</w:t>
            </w:r>
          </w:p>
        </w:tc>
      </w:tr>
      <w:tr w14:paraId="4C67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EAB6D9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A3FF">
            <w:pPr>
              <w:pStyle w:val="42"/>
              <w:bidi w:val="0"/>
              <w:rPr>
                <w:rFonts w:hint="default"/>
              </w:rPr>
            </w:pPr>
            <w:r>
              <w:rPr>
                <w:rFonts w:hint="default"/>
                <w:lang w:val="en-US" w:eastAsia="zh-CN"/>
              </w:rPr>
              <w:t>移动 H5 - 分类商品列表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3BD7">
            <w:pPr>
              <w:pStyle w:val="42"/>
              <w:bidi w:val="0"/>
              <w:rPr>
                <w:rFonts w:hint="default"/>
              </w:rPr>
            </w:pPr>
            <w:r>
              <w:rPr>
                <w:rFonts w:hint="default"/>
                <w:lang w:val="en-US" w:eastAsia="zh-CN"/>
              </w:rPr>
              <w:t>展示二级分类下全部可售商品。商品列表不显示销量字段，不显示供应商信息。</w:t>
            </w:r>
          </w:p>
        </w:tc>
      </w:tr>
      <w:tr w14:paraId="4366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2520A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85C95B0">
            <w:pPr>
              <w:pStyle w:val="42"/>
              <w:bidi w:val="0"/>
              <w:rPr>
                <w:rFonts w:hint="default"/>
              </w:rPr>
            </w:pPr>
            <w:r>
              <w:rPr>
                <w:rFonts w:hint="default"/>
                <w:lang w:val="en-US" w:eastAsia="zh-CN"/>
              </w:rPr>
              <w:t>移动 H5 -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6DA8F7B">
            <w:pPr>
              <w:pStyle w:val="42"/>
              <w:bidi w:val="0"/>
              <w:rPr>
                <w:rFonts w:hint="default"/>
              </w:rPr>
            </w:pPr>
            <w:r>
              <w:rPr>
                <w:rFonts w:hint="default"/>
                <w:lang w:val="en-US" w:eastAsia="zh-CN"/>
              </w:rPr>
              <w:t>移动端商品详情展示图片、名称、规格、价格、库存和加入购物车数量选择。</w:t>
            </w:r>
          </w:p>
        </w:tc>
      </w:tr>
      <w:tr w14:paraId="6AC2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5EDD0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9213F">
            <w:pPr>
              <w:pStyle w:val="42"/>
              <w:bidi w:val="0"/>
              <w:rPr>
                <w:rFonts w:hint="default"/>
              </w:rPr>
            </w:pPr>
            <w:r>
              <w:rPr>
                <w:rFonts w:hint="default"/>
                <w:lang w:val="en-US" w:eastAsia="zh-CN"/>
              </w:rPr>
              <w:t>移动 H5 - 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D3FC">
            <w:pPr>
              <w:pStyle w:val="42"/>
              <w:bidi w:val="0"/>
              <w:rPr>
                <w:rFonts w:hint="default"/>
              </w:rPr>
            </w:pPr>
            <w:r>
              <w:rPr>
                <w:rFonts w:hint="default"/>
                <w:lang w:val="en-US" w:eastAsia="zh-CN"/>
              </w:rPr>
              <w:t>移动端购物车支持商品数量调整、删除和提交订单。提交页面不显示收货人、联系电话、收货地址。</w:t>
            </w:r>
          </w:p>
        </w:tc>
      </w:tr>
      <w:tr w14:paraId="4C85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48AAA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4F7FF1">
            <w:pPr>
              <w:pStyle w:val="42"/>
              <w:bidi w:val="0"/>
              <w:rPr>
                <w:rFonts w:hint="default"/>
              </w:rPr>
            </w:pPr>
            <w:r>
              <w:rPr>
                <w:rFonts w:hint="default"/>
                <w:lang w:val="en-US" w:eastAsia="zh-CN"/>
              </w:rPr>
              <w:t>移动 H5 - 我的页面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DCF7C">
            <w:pPr>
              <w:pStyle w:val="42"/>
              <w:bidi w:val="0"/>
              <w:rPr>
                <w:rFonts w:hint="default"/>
              </w:rPr>
            </w:pPr>
            <w:r>
              <w:rPr>
                <w:rFonts w:hint="default"/>
                <w:lang w:val="en-US" w:eastAsia="zh-CN"/>
              </w:rPr>
              <w:t>展示当前账号和组织信息，提供退出登录按钮，方便采购方在移动端切换账号。</w:t>
            </w:r>
          </w:p>
        </w:tc>
      </w:tr>
      <w:tr w14:paraId="272C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66A57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4BAE">
            <w:pPr>
              <w:pStyle w:val="42"/>
              <w:bidi w:val="0"/>
              <w:rPr>
                <w:rFonts w:hint="default"/>
              </w:rPr>
            </w:pPr>
            <w:r>
              <w:rPr>
                <w:rFonts w:hint="default"/>
                <w:lang w:val="en-US" w:eastAsia="zh-CN"/>
              </w:rPr>
              <w:t>采购订单 - 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EEB3">
            <w:pPr>
              <w:pStyle w:val="42"/>
              <w:bidi w:val="0"/>
              <w:rPr>
                <w:rFonts w:hint="default"/>
              </w:rPr>
            </w:pPr>
            <w:r>
              <w:rPr>
                <w:rFonts w:hint="default"/>
                <w:lang w:val="en-US" w:eastAsia="zh-CN"/>
              </w:rPr>
              <w:t>采购方在 PC 管理端查看本单位编号下的全部采购订单。列表支持订单状态、时间、采购方编号、订单号等查询条件。</w:t>
            </w:r>
          </w:p>
        </w:tc>
      </w:tr>
      <w:tr w14:paraId="4028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F5B9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5F4ABD1">
            <w:pPr>
              <w:pStyle w:val="42"/>
              <w:bidi w:val="0"/>
              <w:rPr>
                <w:rFonts w:hint="default"/>
              </w:rPr>
            </w:pPr>
            <w:r>
              <w:rPr>
                <w:rFonts w:hint="default"/>
                <w:lang w:val="en-US" w:eastAsia="zh-CN"/>
              </w:rPr>
              <w:t>采购订单 - 下单直达供应商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7FE4F0">
            <w:pPr>
              <w:pStyle w:val="42"/>
              <w:bidi w:val="0"/>
              <w:rPr>
                <w:rFonts w:hint="default"/>
              </w:rPr>
            </w:pPr>
            <w:r>
              <w:rPr>
                <w:rFonts w:hint="default"/>
                <w:lang w:val="en-US" w:eastAsia="zh-CN"/>
              </w:rPr>
              <w:t>采购方提交订单后不再进入待一级审核、待二级审核状态，系统直接拆分并推送给供应商待接单。</w:t>
            </w:r>
          </w:p>
        </w:tc>
      </w:tr>
      <w:tr w14:paraId="694A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002101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8040">
            <w:pPr>
              <w:pStyle w:val="42"/>
              <w:bidi w:val="0"/>
              <w:rPr>
                <w:rFonts w:hint="default"/>
              </w:rPr>
            </w:pPr>
            <w:r>
              <w:rPr>
                <w:rFonts w:hint="default"/>
                <w:lang w:val="en-US" w:eastAsia="zh-CN"/>
              </w:rPr>
              <w:t>采购订单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04E94">
            <w:pPr>
              <w:pStyle w:val="42"/>
              <w:bidi w:val="0"/>
              <w:rPr>
                <w:rFonts w:hint="default"/>
              </w:rPr>
            </w:pPr>
            <w:r>
              <w:rPr>
                <w:rFonts w:hint="default"/>
                <w:lang w:val="en-US" w:eastAsia="zh-CN"/>
              </w:rPr>
              <w:t>采购方查看订单号、商品明细、数量、采购方上架价、小计、总金额、订单状态和流转状态。详情中去掉供应商、库房方、收货人、联系电话、收货地址字段。</w:t>
            </w:r>
          </w:p>
        </w:tc>
      </w:tr>
      <w:tr w14:paraId="3AF3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C298C61">
            <w:pPr>
              <w:pStyle w:val="42"/>
              <w:bidi w:val="0"/>
              <w:rPr>
                <w:rFonts w:hint="default"/>
              </w:rPr>
            </w:pPr>
            <w:r>
              <w:rPr>
                <w:rFonts w:hint="default"/>
                <w:lang w:val="en-US" w:eastAsia="zh-CN"/>
              </w:rPr>
              <w:t>库房与履约管理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DCFE1B">
            <w:pPr>
              <w:pStyle w:val="42"/>
              <w:bidi w:val="0"/>
              <w:rPr>
                <w:rFonts w:hint="default"/>
              </w:rPr>
            </w:pPr>
            <w:r>
              <w:rPr>
                <w:rFonts w:hint="default"/>
                <w:lang w:val="en-US" w:eastAsia="zh-CN"/>
              </w:rPr>
              <w:t>统一平台库房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430D61">
            <w:pPr>
              <w:pStyle w:val="42"/>
              <w:bidi w:val="0"/>
              <w:rPr>
                <w:rFonts w:hint="default"/>
              </w:rPr>
            </w:pPr>
            <w:r>
              <w:rPr>
                <w:rFonts w:hint="default"/>
                <w:lang w:val="en-US" w:eastAsia="zh-CN"/>
              </w:rPr>
              <w:t>平台方只有一个统一库房，所有供应商配送订单统一送至平台库房，再根据采购方编号、商品温区和绑定库位进行入库。</w:t>
            </w:r>
          </w:p>
        </w:tc>
      </w:tr>
      <w:tr w14:paraId="324A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C9D170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B3C0">
            <w:pPr>
              <w:pStyle w:val="42"/>
              <w:bidi w:val="0"/>
              <w:rPr>
                <w:rFonts w:hint="default"/>
              </w:rPr>
            </w:pPr>
            <w:r>
              <w:rPr>
                <w:rFonts w:hint="default"/>
                <w:lang w:val="en-US" w:eastAsia="zh-CN"/>
              </w:rPr>
              <w:t>温区库位路由</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DD40">
            <w:pPr>
              <w:pStyle w:val="42"/>
              <w:bidi w:val="0"/>
              <w:rPr>
                <w:rFonts w:hint="default"/>
              </w:rPr>
            </w:pPr>
            <w:r>
              <w:rPr>
                <w:rFonts w:hint="default"/>
                <w:lang w:val="en-US" w:eastAsia="zh-CN"/>
              </w:rPr>
              <w:t>商品温区分为常温、冷藏、冷冻，采购方单位编号需绑定对应温区库位，入库时系统自动匹配库位。</w:t>
            </w:r>
          </w:p>
        </w:tc>
      </w:tr>
      <w:tr w14:paraId="29D1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A5695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7D2AAA5">
            <w:pPr>
              <w:pStyle w:val="42"/>
              <w:bidi w:val="0"/>
              <w:rPr>
                <w:rFonts w:hint="default"/>
              </w:rPr>
            </w:pPr>
            <w:r>
              <w:rPr>
                <w:rFonts w:hint="default"/>
                <w:lang w:val="en-US" w:eastAsia="zh-CN"/>
              </w:rPr>
              <w:t>自动确认收货规则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13EB0E">
            <w:pPr>
              <w:pStyle w:val="42"/>
              <w:bidi w:val="0"/>
              <w:rPr>
                <w:rFonts w:hint="default"/>
              </w:rPr>
            </w:pPr>
            <w:r>
              <w:rPr>
                <w:rFonts w:hint="default"/>
                <w:lang w:val="en-US" w:eastAsia="zh-CN"/>
              </w:rPr>
              <w:t>库房出库后采购方订单进入待确认收货，采购方可手动确认；超过系统配置时限后可自动确认收货并记录日志。</w:t>
            </w:r>
          </w:p>
        </w:tc>
      </w:tr>
      <w:tr w14:paraId="2659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3726E5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E065">
            <w:pPr>
              <w:pStyle w:val="42"/>
              <w:bidi w:val="0"/>
              <w:rPr>
                <w:rFonts w:hint="default"/>
              </w:rPr>
            </w:pPr>
            <w:r>
              <w:rPr>
                <w:rFonts w:hint="default"/>
                <w:lang w:val="en-US" w:eastAsia="zh-CN"/>
              </w:rPr>
              <w:t>配送作业 - 配送作业监管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82DE">
            <w:pPr>
              <w:pStyle w:val="42"/>
              <w:bidi w:val="0"/>
              <w:rPr>
                <w:rFonts w:hint="default"/>
              </w:rPr>
            </w:pPr>
            <w:r>
              <w:rPr>
                <w:rFonts w:hint="default"/>
                <w:lang w:val="en-US" w:eastAsia="zh-CN"/>
              </w:rPr>
              <w:t>平台方可查看配送作业列表、作业单详情、商品明细、库位、采购方编号和状态日志，但具体入库出库操作由库房方执行。</w:t>
            </w:r>
          </w:p>
        </w:tc>
      </w:tr>
      <w:tr w14:paraId="1F69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0275CB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3AA943">
            <w:pPr>
              <w:pStyle w:val="42"/>
              <w:bidi w:val="0"/>
              <w:rPr>
                <w:rFonts w:hint="default"/>
              </w:rPr>
            </w:pPr>
            <w:r>
              <w:rPr>
                <w:rFonts w:hint="default"/>
                <w:lang w:val="en-US" w:eastAsia="zh-CN"/>
              </w:rPr>
              <w:t>库存监管 - 库存台账查看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F3C306">
            <w:pPr>
              <w:pStyle w:val="42"/>
              <w:bidi w:val="0"/>
              <w:rPr>
                <w:rFonts w:hint="default"/>
              </w:rPr>
            </w:pPr>
            <w:r>
              <w:rPr>
                <w:rFonts w:hint="default"/>
                <w:lang w:val="en-US" w:eastAsia="zh-CN"/>
              </w:rPr>
              <w:t>平台方可按分类、商品、SKU、采购方编号、库位和温区查看平台统一库房库存。</w:t>
            </w:r>
          </w:p>
        </w:tc>
      </w:tr>
      <w:tr w14:paraId="585C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96C34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8BD9">
            <w:pPr>
              <w:pStyle w:val="42"/>
              <w:bidi w:val="0"/>
              <w:rPr>
                <w:rFonts w:hint="default"/>
              </w:rPr>
            </w:pPr>
            <w:r>
              <w:rPr>
                <w:rFonts w:hint="default"/>
                <w:lang w:val="en-US" w:eastAsia="zh-CN"/>
              </w:rPr>
              <w:t>出库监管 - 出库记录查看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8F0D">
            <w:pPr>
              <w:pStyle w:val="42"/>
              <w:bidi w:val="0"/>
              <w:rPr>
                <w:rFonts w:hint="default"/>
              </w:rPr>
            </w:pPr>
            <w:r>
              <w:rPr>
                <w:rFonts w:hint="default"/>
                <w:lang w:val="en-US" w:eastAsia="zh-CN"/>
              </w:rPr>
              <w:t>平台方可查看所有出库记录、出库单详情和打印内容，用于监管库房出库和线下配送交接。</w:t>
            </w:r>
          </w:p>
        </w:tc>
      </w:tr>
      <w:tr w14:paraId="0E8F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F792F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D1F1">
            <w:pPr>
              <w:pStyle w:val="42"/>
              <w:bidi w:val="0"/>
              <w:rPr>
                <w:rFonts w:hint="default"/>
              </w:rPr>
            </w:pPr>
            <w:r>
              <w:rPr>
                <w:rFonts w:hint="default"/>
                <w:lang w:val="en-US" w:eastAsia="zh-CN"/>
              </w:rPr>
              <w:t>配送作业 - 配送状态查询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28BC">
            <w:pPr>
              <w:pStyle w:val="42"/>
              <w:bidi w:val="0"/>
              <w:rPr>
                <w:rFonts w:hint="default"/>
              </w:rPr>
            </w:pPr>
            <w:r>
              <w:rPr>
                <w:rFonts w:hint="default"/>
                <w:lang w:val="en-US" w:eastAsia="zh-CN"/>
              </w:rPr>
              <w:t>供应商可按订单号、时间、采购方编号、状态查询配送作业，跟踪待配送、配送中、配送完成和后续库房状态。</w:t>
            </w:r>
          </w:p>
        </w:tc>
      </w:tr>
      <w:tr w14:paraId="2A71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AC1D5E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5C4D">
            <w:pPr>
              <w:pStyle w:val="42"/>
              <w:bidi w:val="0"/>
              <w:rPr>
                <w:rFonts w:hint="default"/>
              </w:rPr>
            </w:pPr>
            <w:r>
              <w:rPr>
                <w:rFonts w:hint="default"/>
                <w:lang w:val="en-US" w:eastAsia="zh-CN"/>
              </w:rPr>
              <w:t>管理工作台 - 库房作业概览</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056E">
            <w:pPr>
              <w:pStyle w:val="42"/>
              <w:bidi w:val="0"/>
              <w:rPr>
                <w:rFonts w:hint="default"/>
              </w:rPr>
            </w:pPr>
            <w:r>
              <w:rPr>
                <w:rFonts w:hint="default"/>
                <w:lang w:val="en-US" w:eastAsia="zh-CN"/>
              </w:rPr>
              <w:t>库房方查看待入库、待出库、已完成、库存概览和近期作业情况。</w:t>
            </w:r>
          </w:p>
        </w:tc>
      </w:tr>
      <w:tr w14:paraId="4F8FD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16E70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8F4EE7">
            <w:pPr>
              <w:pStyle w:val="42"/>
              <w:bidi w:val="0"/>
              <w:rPr>
                <w:rFonts w:hint="default"/>
              </w:rPr>
            </w:pPr>
            <w:r>
              <w:rPr>
                <w:rFonts w:hint="default"/>
                <w:lang w:val="en-US" w:eastAsia="zh-CN"/>
              </w:rPr>
              <w:t>配送作业 - 自动聚焦订单号查询框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CEAFAB">
            <w:pPr>
              <w:pStyle w:val="42"/>
              <w:bidi w:val="0"/>
              <w:rPr>
                <w:rFonts w:hint="default"/>
              </w:rPr>
            </w:pPr>
            <w:r>
              <w:rPr>
                <w:rFonts w:hint="default"/>
                <w:lang w:val="en-US" w:eastAsia="zh-CN"/>
              </w:rPr>
              <w:t>库房方进入配送作业页面后，光标自动聚焦到订单号/扫码查询输入框，方便现场直接使用扫码枪。</w:t>
            </w:r>
          </w:p>
        </w:tc>
      </w:tr>
      <w:tr w14:paraId="7C95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9AC058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F821">
            <w:pPr>
              <w:pStyle w:val="42"/>
              <w:bidi w:val="0"/>
              <w:rPr>
                <w:rFonts w:hint="default"/>
              </w:rPr>
            </w:pPr>
            <w:r>
              <w:rPr>
                <w:rFonts w:hint="default"/>
                <w:lang w:val="en-US" w:eastAsia="zh-CN"/>
              </w:rPr>
              <w:t>配送作业 - 扫码自动查询并打开详情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3841">
            <w:pPr>
              <w:pStyle w:val="42"/>
              <w:bidi w:val="0"/>
              <w:rPr>
                <w:rFonts w:hint="default"/>
              </w:rPr>
            </w:pPr>
            <w:r>
              <w:rPr>
                <w:rFonts w:hint="default"/>
                <w:lang w:val="en-US" w:eastAsia="zh-CN"/>
              </w:rPr>
              <w:t>扫码枪输入订单号并回车后，系统自动查询对应订单并打开详情弹窗，减少现场点击操作。</w:t>
            </w:r>
          </w:p>
        </w:tc>
      </w:tr>
      <w:tr w14:paraId="7DA5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88BD8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9FB223">
            <w:pPr>
              <w:pStyle w:val="42"/>
              <w:bidi w:val="0"/>
              <w:rPr>
                <w:rFonts w:hint="default"/>
              </w:rPr>
            </w:pPr>
            <w:r>
              <w:rPr>
                <w:rFonts w:hint="default"/>
                <w:lang w:val="en-US" w:eastAsia="zh-CN"/>
              </w:rPr>
              <w:t>配送作业 - 待入库订单列表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AA9390D">
            <w:pPr>
              <w:pStyle w:val="42"/>
              <w:bidi w:val="0"/>
              <w:rPr>
                <w:rFonts w:hint="default"/>
              </w:rPr>
            </w:pPr>
            <w:r>
              <w:rPr>
                <w:rFonts w:hint="default"/>
                <w:lang w:val="en-US" w:eastAsia="zh-CN"/>
              </w:rPr>
              <w:t>查看供应商配送完成待入库订单，展示订单号、采购方编号、状态、时间和商品数量。</w:t>
            </w:r>
          </w:p>
        </w:tc>
      </w:tr>
      <w:tr w14:paraId="0C241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399A0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A6A7">
            <w:pPr>
              <w:pStyle w:val="42"/>
              <w:bidi w:val="0"/>
              <w:rPr>
                <w:rFonts w:hint="default"/>
              </w:rPr>
            </w:pPr>
            <w:r>
              <w:rPr>
                <w:rFonts w:hint="default"/>
                <w:lang w:val="en-US" w:eastAsia="zh-CN"/>
              </w:rPr>
              <w:t>配送作业 - 商品行级入库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5DA3">
            <w:pPr>
              <w:pStyle w:val="42"/>
              <w:bidi w:val="0"/>
              <w:rPr>
                <w:rFonts w:hint="default"/>
              </w:rPr>
            </w:pPr>
            <w:r>
              <w:rPr>
                <w:rFonts w:hint="default"/>
                <w:lang w:val="en-US" w:eastAsia="zh-CN"/>
              </w:rPr>
              <w:t>订单详情商品清单中，每个商品行后提供入库按钮。库房方可逐项入库，适合商品数量多的大订单。</w:t>
            </w:r>
          </w:p>
        </w:tc>
      </w:tr>
      <w:tr w14:paraId="41E87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E7E685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F17902C">
            <w:pPr>
              <w:pStyle w:val="42"/>
              <w:bidi w:val="0"/>
              <w:rPr>
                <w:rFonts w:hint="default"/>
              </w:rPr>
            </w:pPr>
            <w:r>
              <w:rPr>
                <w:rFonts w:hint="default"/>
                <w:lang w:val="en-US" w:eastAsia="zh-CN"/>
              </w:rPr>
              <w:t>配送作业 - 入库写入库存台账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9DEEE0">
            <w:pPr>
              <w:pStyle w:val="42"/>
              <w:bidi w:val="0"/>
              <w:rPr>
                <w:rFonts w:hint="default"/>
              </w:rPr>
            </w:pPr>
            <w:r>
              <w:rPr>
                <w:rFonts w:hint="default"/>
                <w:lang w:val="en-US" w:eastAsia="zh-CN"/>
              </w:rPr>
              <w:t>商品入库后，系统根据采购方单位编号、商品温区和绑定库位写入库存台账，并记录库存变更日志。</w:t>
            </w:r>
          </w:p>
        </w:tc>
      </w:tr>
      <w:tr w14:paraId="498E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4C349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92C8">
            <w:pPr>
              <w:pStyle w:val="42"/>
              <w:bidi w:val="0"/>
              <w:rPr>
                <w:rFonts w:hint="default"/>
              </w:rPr>
            </w:pPr>
            <w:r>
              <w:rPr>
                <w:rFonts w:hint="default"/>
                <w:lang w:val="en-US" w:eastAsia="zh-CN"/>
              </w:rPr>
              <w:t>配送作业 - 隐藏异常按钮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D34E">
            <w:pPr>
              <w:pStyle w:val="42"/>
              <w:bidi w:val="0"/>
              <w:rPr>
                <w:rFonts w:hint="default"/>
              </w:rPr>
            </w:pPr>
            <w:r>
              <w:rPr>
                <w:rFonts w:hint="default"/>
                <w:lang w:val="en-US" w:eastAsia="zh-CN"/>
              </w:rPr>
              <w:t>配送作业中不再提供异常按钮，避免库房方误触发不再使用的异常流程。</w:t>
            </w:r>
          </w:p>
        </w:tc>
      </w:tr>
      <w:tr w14:paraId="4244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4BCF46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06D17FB">
            <w:pPr>
              <w:pStyle w:val="42"/>
              <w:bidi w:val="0"/>
              <w:rPr>
                <w:rFonts w:hint="default"/>
              </w:rPr>
            </w:pPr>
            <w:r>
              <w:rPr>
                <w:rFonts w:hint="default"/>
                <w:lang w:val="en-US" w:eastAsia="zh-CN"/>
              </w:rPr>
              <w:t>配送作业 - 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92D968">
            <w:pPr>
              <w:pStyle w:val="42"/>
              <w:bidi w:val="0"/>
              <w:rPr>
                <w:rFonts w:hint="default"/>
              </w:rPr>
            </w:pPr>
            <w:r>
              <w:rPr>
                <w:rFonts w:hint="default"/>
                <w:lang w:val="en-US" w:eastAsia="zh-CN"/>
              </w:rPr>
              <w:t>库房方从订单维度执行出库，订单内所有需要出库的商品按订单数量核减库存。</w:t>
            </w:r>
          </w:p>
        </w:tc>
      </w:tr>
      <w:tr w14:paraId="3966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041AA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6579">
            <w:pPr>
              <w:pStyle w:val="42"/>
              <w:bidi w:val="0"/>
              <w:rPr>
                <w:rFonts w:hint="default"/>
              </w:rPr>
            </w:pPr>
            <w:r>
              <w:rPr>
                <w:rFonts w:hint="default"/>
                <w:lang w:val="en-US" w:eastAsia="zh-CN"/>
              </w:rPr>
              <w:t>配送作业 - 出库后状态流转</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C7C8">
            <w:pPr>
              <w:pStyle w:val="42"/>
              <w:bidi w:val="0"/>
              <w:rPr>
                <w:rFonts w:hint="default"/>
              </w:rPr>
            </w:pPr>
            <w:r>
              <w:rPr>
                <w:rFonts w:hint="default"/>
                <w:lang w:val="en-US" w:eastAsia="zh-CN"/>
              </w:rPr>
              <w:t>出库后订单进入待采购方确认收货状态，采购方订单状态同步更新。</w:t>
            </w:r>
          </w:p>
        </w:tc>
      </w:tr>
      <w:tr w14:paraId="5A44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E5F2B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16245E">
            <w:pPr>
              <w:pStyle w:val="42"/>
              <w:bidi w:val="0"/>
              <w:rPr>
                <w:rFonts w:hint="default"/>
              </w:rPr>
            </w:pPr>
            <w:r>
              <w:rPr>
                <w:rFonts w:hint="default"/>
                <w:lang w:val="en-US" w:eastAsia="zh-CN"/>
              </w:rPr>
              <w:t>配送作业 - 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06DE701">
            <w:pPr>
              <w:pStyle w:val="42"/>
              <w:bidi w:val="0"/>
              <w:rPr>
                <w:rFonts w:hint="default"/>
              </w:rPr>
            </w:pPr>
            <w:r>
              <w:rPr>
                <w:rFonts w:hint="default"/>
                <w:lang w:val="en-US" w:eastAsia="zh-CN"/>
              </w:rPr>
              <w:t>库房方可按订单状态、时间、采购方编号、订单号等查询配送作业。</w:t>
            </w:r>
          </w:p>
        </w:tc>
      </w:tr>
      <w:tr w14:paraId="6A95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F11875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F967">
            <w:pPr>
              <w:pStyle w:val="42"/>
              <w:bidi w:val="0"/>
              <w:rPr>
                <w:rFonts w:hint="default"/>
              </w:rPr>
            </w:pPr>
            <w:r>
              <w:rPr>
                <w:rFonts w:hint="default"/>
                <w:lang w:val="en-US" w:eastAsia="zh-CN"/>
              </w:rPr>
              <w:t>库存台账 - 分类树库存查看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8F9A">
            <w:pPr>
              <w:pStyle w:val="42"/>
              <w:bidi w:val="0"/>
              <w:rPr>
                <w:rFonts w:hint="default"/>
              </w:rPr>
            </w:pPr>
            <w:r>
              <w:rPr>
                <w:rFonts w:hint="default"/>
                <w:lang w:val="en-US" w:eastAsia="zh-CN"/>
              </w:rPr>
              <w:t>库存台账页面左侧为商品分类树，右侧展示分类下库存商品。分类树与表格之间保留间距，避免边框贴合。</w:t>
            </w:r>
          </w:p>
        </w:tc>
      </w:tr>
      <w:tr w14:paraId="7C6B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5A8328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34F3EB9">
            <w:pPr>
              <w:pStyle w:val="42"/>
              <w:bidi w:val="0"/>
              <w:rPr>
                <w:rFonts w:hint="default"/>
              </w:rPr>
            </w:pPr>
            <w:r>
              <w:rPr>
                <w:rFonts w:hint="default"/>
                <w:lang w:val="en-US" w:eastAsia="zh-CN"/>
              </w:rPr>
              <w:t>库存台账 - 库存明细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AC49BB7">
            <w:pPr>
              <w:pStyle w:val="42"/>
              <w:bidi w:val="0"/>
              <w:rPr>
                <w:rFonts w:hint="default"/>
              </w:rPr>
            </w:pPr>
            <w:r>
              <w:rPr>
                <w:rFonts w:hint="default"/>
                <w:lang w:val="en-US" w:eastAsia="zh-CN"/>
              </w:rPr>
              <w:t>展示商品、SKU、分类、温区、库位、采购方编号、库存数量、最近入库时间和最近出库时间。</w:t>
            </w:r>
          </w:p>
        </w:tc>
      </w:tr>
      <w:tr w14:paraId="7AFC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F478F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1037">
            <w:pPr>
              <w:pStyle w:val="42"/>
              <w:bidi w:val="0"/>
              <w:rPr>
                <w:rFonts w:hint="default"/>
              </w:rPr>
            </w:pPr>
            <w:r>
              <w:rPr>
                <w:rFonts w:hint="default"/>
                <w:lang w:val="en-US" w:eastAsia="zh-CN"/>
              </w:rPr>
              <w:t>库存台账 - 多选统一出库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FBD2">
            <w:pPr>
              <w:pStyle w:val="42"/>
              <w:bidi w:val="0"/>
              <w:rPr>
                <w:rFonts w:hint="default"/>
              </w:rPr>
            </w:pPr>
            <w:r>
              <w:rPr>
                <w:rFonts w:hint="default"/>
                <w:lang w:val="en-US" w:eastAsia="zh-CN"/>
              </w:rPr>
              <w:t>在库存台账中选择多个商品后可统一出库，填写出库数量、接收方、出库人和备注，用于非订单场景补充出库。</w:t>
            </w:r>
          </w:p>
        </w:tc>
      </w:tr>
      <w:tr w14:paraId="57ED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492D51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53B2D8">
            <w:pPr>
              <w:pStyle w:val="42"/>
              <w:bidi w:val="0"/>
              <w:rPr>
                <w:rFonts w:hint="default"/>
              </w:rPr>
            </w:pPr>
            <w:r>
              <w:rPr>
                <w:rFonts w:hint="default"/>
                <w:lang w:val="en-US" w:eastAsia="zh-CN"/>
              </w:rPr>
              <w:t>库存台账 - 库存数量校验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0B13E61">
            <w:pPr>
              <w:pStyle w:val="42"/>
              <w:bidi w:val="0"/>
              <w:rPr>
                <w:rFonts w:hint="default"/>
              </w:rPr>
            </w:pPr>
            <w:r>
              <w:rPr>
                <w:rFonts w:hint="default"/>
                <w:lang w:val="en-US" w:eastAsia="zh-CN"/>
              </w:rPr>
              <w:t>出库数量不能超过当前库存，库存不足时系统提示错误并阻止出库。</w:t>
            </w:r>
          </w:p>
        </w:tc>
      </w:tr>
      <w:tr w14:paraId="28E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C3F3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7A8E">
            <w:pPr>
              <w:pStyle w:val="42"/>
              <w:bidi w:val="0"/>
              <w:rPr>
                <w:rFonts w:hint="default"/>
              </w:rPr>
            </w:pPr>
            <w:r>
              <w:rPr>
                <w:rFonts w:hint="default"/>
                <w:lang w:val="en-US" w:eastAsia="zh-CN"/>
              </w:rPr>
              <w:t>出库记录 - 出库记录列表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98AF">
            <w:pPr>
              <w:pStyle w:val="42"/>
              <w:bidi w:val="0"/>
              <w:rPr>
                <w:rFonts w:hint="default"/>
              </w:rPr>
            </w:pPr>
            <w:r>
              <w:rPr>
                <w:rFonts w:hint="default"/>
                <w:lang w:val="en-US" w:eastAsia="zh-CN"/>
              </w:rPr>
              <w:t>展示出库单号、订单号、采购方编号、出库人、接收方、商品数量、出库总量、出库时间和备注。</w:t>
            </w:r>
          </w:p>
        </w:tc>
      </w:tr>
      <w:tr w14:paraId="1A6B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4E1C6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BA1D275">
            <w:pPr>
              <w:pStyle w:val="42"/>
              <w:bidi w:val="0"/>
              <w:rPr>
                <w:rFonts w:hint="default"/>
              </w:rPr>
            </w:pPr>
            <w:r>
              <w:rPr>
                <w:rFonts w:hint="default"/>
                <w:lang w:val="en-US" w:eastAsia="zh-CN"/>
              </w:rPr>
              <w:t>出库记录 - 出库单详情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9A5629">
            <w:pPr>
              <w:pStyle w:val="42"/>
              <w:bidi w:val="0"/>
              <w:rPr>
                <w:rFonts w:hint="default"/>
              </w:rPr>
            </w:pPr>
            <w:r>
              <w:rPr>
                <w:rFonts w:hint="default"/>
                <w:lang w:val="en-US" w:eastAsia="zh-CN"/>
              </w:rPr>
              <w:t>查看出库商品清单，包括商品名称、规格、单位、数量、单价、总价、库位和采购方编号等信息。</w:t>
            </w:r>
          </w:p>
        </w:tc>
      </w:tr>
      <w:tr w14:paraId="71A7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1585C8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6674">
            <w:pPr>
              <w:pStyle w:val="42"/>
              <w:bidi w:val="0"/>
              <w:rPr>
                <w:rFonts w:hint="default"/>
              </w:rPr>
            </w:pPr>
            <w:r>
              <w:rPr>
                <w:rFonts w:hint="default"/>
                <w:lang w:val="en-US" w:eastAsia="zh-CN"/>
              </w:rPr>
              <w:t>出库记录 - 打印出库单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E521">
            <w:pPr>
              <w:pStyle w:val="42"/>
              <w:bidi w:val="0"/>
              <w:rPr>
                <w:rFonts w:hint="default"/>
              </w:rPr>
            </w:pPr>
            <w:r>
              <w:rPr>
                <w:rFonts w:hint="default"/>
                <w:lang w:val="en-US" w:eastAsia="zh-CN"/>
              </w:rPr>
              <w:t>出库记录详情支持打印出库单。模板按 A4 竖版排版，展示主粮串换食品出库配送单、项目名称、库位、出库日期、采购方编号、订单号和商品清单。</w:t>
            </w:r>
          </w:p>
        </w:tc>
      </w:tr>
      <w:tr w14:paraId="2FF4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92AF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AB30C2">
            <w:pPr>
              <w:pStyle w:val="42"/>
              <w:bidi w:val="0"/>
              <w:rPr>
                <w:rFonts w:hint="default"/>
              </w:rPr>
            </w:pPr>
            <w:r>
              <w:rPr>
                <w:rFonts w:hint="default"/>
                <w:lang w:val="en-US" w:eastAsia="zh-CN"/>
              </w:rPr>
              <w:t>出库记录 - 价格显示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B33FD9">
            <w:pPr>
              <w:pStyle w:val="42"/>
              <w:bidi w:val="0"/>
              <w:rPr>
                <w:rFonts w:hint="default"/>
              </w:rPr>
            </w:pPr>
            <w:r>
              <w:rPr>
                <w:rFonts w:hint="default"/>
                <w:lang w:val="en-US" w:eastAsia="zh-CN"/>
              </w:rPr>
              <w:t>出库单商品单价取报价周期商品对应采购方上架价格，总价按单价乘数量计算，合计价格汇总所有商品。</w:t>
            </w:r>
          </w:p>
        </w:tc>
      </w:tr>
      <w:tr w14:paraId="3C30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304504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13986">
            <w:pPr>
              <w:pStyle w:val="42"/>
              <w:bidi w:val="0"/>
              <w:rPr>
                <w:rFonts w:hint="default"/>
              </w:rPr>
            </w:pPr>
            <w:r>
              <w:rPr>
                <w:rFonts w:hint="default"/>
                <w:lang w:val="en-US" w:eastAsia="zh-CN"/>
              </w:rPr>
              <w:t>移动管理端 - 移动扫码入库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EF93">
            <w:pPr>
              <w:pStyle w:val="42"/>
              <w:bidi w:val="0"/>
              <w:rPr>
                <w:rFonts w:hint="default"/>
              </w:rPr>
            </w:pPr>
            <w:r>
              <w:rPr>
                <w:rFonts w:hint="default"/>
                <w:lang w:val="en-US" w:eastAsia="zh-CN"/>
              </w:rPr>
              <w:t>库房方可在移动端点击扫码按钮，扫描贴货码后自动打开对应订单详情。</w:t>
            </w:r>
          </w:p>
        </w:tc>
      </w:tr>
      <w:tr w14:paraId="2210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F512D2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5C90ED1">
            <w:pPr>
              <w:pStyle w:val="42"/>
              <w:bidi w:val="0"/>
              <w:rPr>
                <w:rFonts w:hint="default"/>
              </w:rPr>
            </w:pPr>
            <w:r>
              <w:rPr>
                <w:rFonts w:hint="default"/>
                <w:lang w:val="en-US" w:eastAsia="zh-CN"/>
              </w:rPr>
              <w:t>移动管理端 - 移动订单入库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B73694">
            <w:pPr>
              <w:pStyle w:val="42"/>
              <w:bidi w:val="0"/>
              <w:rPr>
                <w:rFonts w:hint="default"/>
              </w:rPr>
            </w:pPr>
            <w:r>
              <w:rPr>
                <w:rFonts w:hint="default"/>
                <w:lang w:val="en-US" w:eastAsia="zh-CN"/>
              </w:rPr>
              <w:t>移动端订单详情下方提供入库按钮，便于库房方现场完成入库。</w:t>
            </w:r>
          </w:p>
        </w:tc>
      </w:tr>
      <w:tr w14:paraId="6A4A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F22D6C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DDAE">
            <w:pPr>
              <w:pStyle w:val="42"/>
              <w:bidi w:val="0"/>
              <w:rPr>
                <w:rFonts w:hint="default"/>
              </w:rPr>
            </w:pPr>
            <w:r>
              <w:rPr>
                <w:rFonts w:hint="default"/>
                <w:lang w:val="en-US" w:eastAsia="zh-CN"/>
              </w:rPr>
              <w:t>移动管理端 - 移动订单出库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5718">
            <w:pPr>
              <w:pStyle w:val="42"/>
              <w:bidi w:val="0"/>
              <w:rPr>
                <w:rFonts w:hint="default"/>
              </w:rPr>
            </w:pPr>
            <w:r>
              <w:rPr>
                <w:rFonts w:hint="default"/>
                <w:lang w:val="en-US" w:eastAsia="zh-CN"/>
              </w:rPr>
              <w:t>移动端提供订单列表和订单出库入口，库房方可在手机上打开订单详情并执行出库。</w:t>
            </w:r>
          </w:p>
        </w:tc>
      </w:tr>
      <w:tr w14:paraId="3379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25C94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283F1D0">
            <w:pPr>
              <w:pStyle w:val="42"/>
              <w:bidi w:val="0"/>
              <w:rPr>
                <w:rFonts w:hint="default"/>
              </w:rPr>
            </w:pPr>
            <w:r>
              <w:rPr>
                <w:rFonts w:hint="default"/>
                <w:lang w:val="en-US" w:eastAsia="zh-CN"/>
              </w:rPr>
              <w:t>报表中心 - 库房报表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483C0F">
            <w:pPr>
              <w:pStyle w:val="42"/>
              <w:bidi w:val="0"/>
              <w:rPr>
                <w:rFonts w:hint="default"/>
              </w:rPr>
            </w:pPr>
            <w:r>
              <w:rPr>
                <w:rFonts w:hint="default"/>
                <w:lang w:val="en-US" w:eastAsia="zh-CN"/>
              </w:rPr>
              <w:t>库房方查看入库、出库、库存、订单完成率和作业统计。</w:t>
            </w:r>
          </w:p>
        </w:tc>
      </w:tr>
      <w:tr w14:paraId="6623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D377E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512E">
            <w:pPr>
              <w:pStyle w:val="42"/>
              <w:bidi w:val="0"/>
              <w:rPr>
                <w:rFonts w:hint="default"/>
              </w:rPr>
            </w:pPr>
            <w:r>
              <w:rPr>
                <w:rFonts w:hint="default"/>
                <w:lang w:val="en-US" w:eastAsia="zh-CN"/>
              </w:rPr>
              <w:t>对账管理 - 供应商对账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3C81">
            <w:pPr>
              <w:pStyle w:val="42"/>
              <w:bidi w:val="0"/>
              <w:rPr>
                <w:rFonts w:hint="default"/>
              </w:rPr>
            </w:pPr>
            <w:r>
              <w:rPr>
                <w:rFonts w:hint="default"/>
                <w:lang w:val="en-US" w:eastAsia="zh-CN"/>
              </w:rPr>
              <w:t>供应商按订单和供应商报价快照生成对账，确保供应商看到的结算价格与接单时价格一致。</w:t>
            </w:r>
          </w:p>
        </w:tc>
      </w:tr>
      <w:tr w14:paraId="5E15E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A078B9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44CCB7B">
            <w:pPr>
              <w:pStyle w:val="42"/>
              <w:bidi w:val="0"/>
              <w:rPr>
                <w:rFonts w:hint="default"/>
              </w:rPr>
            </w:pPr>
            <w:r>
              <w:rPr>
                <w:rFonts w:hint="default"/>
                <w:lang w:val="en-US" w:eastAsia="zh-CN"/>
              </w:rPr>
              <w:t>对账管理 - 采购方对账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1F22FE">
            <w:pPr>
              <w:pStyle w:val="42"/>
              <w:bidi w:val="0"/>
              <w:rPr>
                <w:rFonts w:hint="default"/>
              </w:rPr>
            </w:pPr>
            <w:r>
              <w:rPr>
                <w:rFonts w:hint="default"/>
                <w:lang w:val="en-US" w:eastAsia="zh-CN"/>
              </w:rPr>
              <w:t>采购方按采购方上架价订单快照生成对账，确保采购方订单金额与商城下单价格一致。</w:t>
            </w:r>
          </w:p>
        </w:tc>
      </w:tr>
      <w:tr w14:paraId="575E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D20DE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1B3C">
            <w:pPr>
              <w:pStyle w:val="42"/>
              <w:bidi w:val="0"/>
              <w:rPr>
                <w:rFonts w:hint="default"/>
              </w:rPr>
            </w:pPr>
            <w:r>
              <w:rPr>
                <w:rFonts w:hint="default"/>
                <w:lang w:val="en-US" w:eastAsia="zh-CN"/>
              </w:rPr>
              <w:t>对账管理 - 对账单确认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17EC">
            <w:pPr>
              <w:pStyle w:val="42"/>
              <w:bidi w:val="0"/>
              <w:rPr>
                <w:rFonts w:hint="default"/>
              </w:rPr>
            </w:pPr>
            <w:r>
              <w:rPr>
                <w:rFonts w:hint="default"/>
                <w:lang w:val="en-US" w:eastAsia="zh-CN"/>
              </w:rPr>
              <w:t>供应商方和采购方可确认对账单，确认后形成业务留痕。</w:t>
            </w:r>
          </w:p>
        </w:tc>
      </w:tr>
      <w:tr w14:paraId="784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CC9D9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B4ECD96">
            <w:pPr>
              <w:pStyle w:val="42"/>
              <w:bidi w:val="0"/>
              <w:rPr>
                <w:rFonts w:hint="default"/>
              </w:rPr>
            </w:pPr>
            <w:r>
              <w:rPr>
                <w:rFonts w:hint="default"/>
                <w:lang w:val="en-US" w:eastAsia="zh-CN"/>
              </w:rPr>
              <w:t>报表中心 - 订单统计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471CA">
            <w:pPr>
              <w:pStyle w:val="42"/>
              <w:bidi w:val="0"/>
              <w:rPr>
                <w:rFonts w:hint="default"/>
              </w:rPr>
            </w:pPr>
            <w:r>
              <w:rPr>
                <w:rFonts w:hint="default"/>
                <w:lang w:val="en-US" w:eastAsia="zh-CN"/>
              </w:rPr>
              <w:t>按时间、状态、角色数据范围统计订单数量、金额、完成率和状态分布。</w:t>
            </w:r>
          </w:p>
        </w:tc>
      </w:tr>
      <w:tr w14:paraId="79E5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C3CC6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8CA8">
            <w:pPr>
              <w:pStyle w:val="42"/>
              <w:bidi w:val="0"/>
              <w:rPr>
                <w:rFonts w:hint="default"/>
              </w:rPr>
            </w:pPr>
            <w:r>
              <w:rPr>
                <w:rFonts w:hint="default"/>
                <w:lang w:val="en-US" w:eastAsia="zh-CN"/>
              </w:rPr>
              <w:t>报表中心 - 商品统计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047A">
            <w:pPr>
              <w:pStyle w:val="42"/>
              <w:bidi w:val="0"/>
              <w:rPr>
                <w:rFonts w:hint="default"/>
              </w:rPr>
            </w:pPr>
            <w:r>
              <w:rPr>
                <w:rFonts w:hint="default"/>
                <w:lang w:val="en-US" w:eastAsia="zh-CN"/>
              </w:rPr>
              <w:t>统计商品采购数量、订单数、金额、分类占比和热销商品。</w:t>
            </w:r>
          </w:p>
        </w:tc>
      </w:tr>
      <w:tr w14:paraId="7635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08A59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A6D72">
            <w:pPr>
              <w:pStyle w:val="42"/>
              <w:bidi w:val="0"/>
              <w:rPr>
                <w:rFonts w:hint="default"/>
              </w:rPr>
            </w:pPr>
            <w:r>
              <w:rPr>
                <w:rFonts w:hint="default"/>
                <w:lang w:val="en-US" w:eastAsia="zh-CN"/>
              </w:rPr>
              <w:t>报表中心 - 供应商统计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036D39B">
            <w:pPr>
              <w:pStyle w:val="42"/>
              <w:bidi w:val="0"/>
              <w:rPr>
                <w:rFonts w:hint="default"/>
              </w:rPr>
            </w:pPr>
            <w:r>
              <w:rPr>
                <w:rFonts w:hint="default"/>
                <w:lang w:val="en-US" w:eastAsia="zh-CN"/>
              </w:rPr>
              <w:t>平台方可统计供应商报价、接单、配送、订单金额和履约表现；供应商方只看本组织数据。</w:t>
            </w:r>
          </w:p>
        </w:tc>
      </w:tr>
      <w:tr w14:paraId="5A5E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E4AE79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EA3F">
            <w:pPr>
              <w:pStyle w:val="42"/>
              <w:bidi w:val="0"/>
              <w:rPr>
                <w:rFonts w:hint="default"/>
              </w:rPr>
            </w:pPr>
            <w:r>
              <w:rPr>
                <w:rFonts w:hint="default"/>
                <w:lang w:val="en-US" w:eastAsia="zh-CN"/>
              </w:rPr>
              <w:t>报表中心 - 采购方统计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CB61">
            <w:pPr>
              <w:pStyle w:val="42"/>
              <w:bidi w:val="0"/>
              <w:rPr>
                <w:rFonts w:hint="default"/>
              </w:rPr>
            </w:pPr>
            <w:r>
              <w:rPr>
                <w:rFonts w:hint="default"/>
                <w:lang w:val="en-US" w:eastAsia="zh-CN"/>
              </w:rPr>
              <w:t>平台方可按采购方编号统计采购金额、订单数、商品数量和收货完成情况；采购方只看本单位数据。</w:t>
            </w:r>
          </w:p>
        </w:tc>
      </w:tr>
      <w:tr w14:paraId="6ECF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0BD9063">
            <w:pPr>
              <w:pStyle w:val="42"/>
              <w:bidi w:val="0"/>
              <w:rPr>
                <w:rFonts w:hint="default"/>
              </w:rPr>
            </w:pPr>
            <w:r>
              <w:rPr>
                <w:rFonts w:hint="default"/>
                <w:lang w:val="en-US" w:eastAsia="zh-CN"/>
              </w:rPr>
              <w:t>价格与上架规则管理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6F1F">
            <w:pPr>
              <w:pStyle w:val="42"/>
              <w:bidi w:val="0"/>
              <w:rPr>
                <w:rFonts w:hint="default"/>
              </w:rPr>
            </w:pPr>
            <w:r>
              <w:rPr>
                <w:rFonts w:hint="default"/>
                <w:lang w:val="en-US" w:eastAsia="zh-CN"/>
              </w:rPr>
              <w:t>三价格模型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5C519">
            <w:pPr>
              <w:pStyle w:val="42"/>
              <w:bidi w:val="0"/>
              <w:rPr>
                <w:rFonts w:hint="default"/>
              </w:rPr>
            </w:pPr>
            <w:r>
              <w:rPr>
                <w:rFonts w:hint="default"/>
                <w:lang w:val="en-US" w:eastAsia="zh-CN"/>
              </w:rPr>
              <w:t>系统同时保留商品指导价、供应商报价和采购方上架价。采购方看到采购方上架价，供应商看到自身报价，平台方可查看三类价格和价差。</w:t>
            </w:r>
          </w:p>
        </w:tc>
      </w:tr>
      <w:tr w14:paraId="06EC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6B887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E974C2">
            <w:pPr>
              <w:pStyle w:val="42"/>
              <w:bidi w:val="0"/>
              <w:rPr>
                <w:rFonts w:hint="default"/>
              </w:rPr>
            </w:pPr>
            <w:r>
              <w:rPr>
                <w:rFonts w:hint="default"/>
                <w:lang w:val="en-US" w:eastAsia="zh-CN"/>
              </w:rPr>
              <w:t>上架规则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217AB73">
            <w:pPr>
              <w:pStyle w:val="42"/>
              <w:bidi w:val="0"/>
              <w:rPr>
                <w:rFonts w:hint="default"/>
              </w:rPr>
            </w:pPr>
            <w:r>
              <w:rPr>
                <w:rFonts w:hint="default"/>
                <w:lang w:val="en-US" w:eastAsia="zh-CN"/>
              </w:rPr>
              <w:t>按照交易规则进行商品上架，支持调整</w:t>
            </w:r>
          </w:p>
        </w:tc>
      </w:tr>
      <w:tr w14:paraId="75C0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3DA5EC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0EF8">
            <w:pPr>
              <w:pStyle w:val="42"/>
              <w:bidi w:val="0"/>
              <w:rPr>
                <w:rFonts w:hint="default"/>
              </w:rPr>
            </w:pPr>
            <w:r>
              <w:rPr>
                <w:rFonts w:hint="default"/>
                <w:lang w:val="en-US" w:eastAsia="zh-CN"/>
              </w:rPr>
              <w:t>同价供应商排序规则</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6205">
            <w:pPr>
              <w:pStyle w:val="42"/>
              <w:bidi w:val="0"/>
              <w:rPr>
                <w:rFonts w:hint="default"/>
              </w:rPr>
            </w:pPr>
            <w:r>
              <w:rPr>
                <w:rFonts w:hint="default"/>
                <w:lang w:val="en-US" w:eastAsia="zh-CN"/>
              </w:rPr>
              <w:t>多家供应商报价相同时，系统先比较可用库存，库存多者优先；库存也相同时比较报价时间，报价时间更早者优先。</w:t>
            </w:r>
          </w:p>
        </w:tc>
      </w:tr>
      <w:tr w14:paraId="5C38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ABDE4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653504">
            <w:pPr>
              <w:pStyle w:val="42"/>
              <w:bidi w:val="0"/>
              <w:rPr>
                <w:rFonts w:hint="default"/>
              </w:rPr>
            </w:pPr>
            <w:r>
              <w:rPr>
                <w:rFonts w:hint="default"/>
                <w:lang w:val="en-US" w:eastAsia="zh-CN"/>
              </w:rPr>
              <w:t>报价时间规则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C034BFF">
            <w:pPr>
              <w:pStyle w:val="42"/>
              <w:bidi w:val="0"/>
              <w:rPr>
                <w:rFonts w:hint="default"/>
              </w:rPr>
            </w:pPr>
            <w:r>
              <w:rPr>
                <w:rFonts w:hint="default"/>
                <w:lang w:val="en-US" w:eastAsia="zh-CN"/>
              </w:rPr>
              <w:t>供应商新增报价、修改报价、模板导入报价时刷新报价时间；只修改库存、下架或恢复供货时不刷新报价时间，保证排序逻辑稳定。</w:t>
            </w:r>
          </w:p>
        </w:tc>
      </w:tr>
      <w:tr w14:paraId="2444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01B0A6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D8BA9B1">
            <w:pPr>
              <w:pStyle w:val="42"/>
              <w:bidi w:val="0"/>
              <w:rPr>
                <w:rFonts w:hint="default"/>
              </w:rPr>
            </w:pPr>
            <w:r>
              <w:rPr>
                <w:rFonts w:hint="default"/>
                <w:lang w:val="en-US" w:eastAsia="zh-CN"/>
              </w:rPr>
              <w:t>报价周期 - 新增报价周期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D5BA3B">
            <w:pPr>
              <w:pStyle w:val="42"/>
              <w:bidi w:val="0"/>
              <w:rPr>
                <w:rFonts w:hint="default"/>
              </w:rPr>
            </w:pPr>
            <w:r>
              <w:rPr>
                <w:rFonts w:hint="default"/>
                <w:lang w:val="en-US" w:eastAsia="zh-CN"/>
              </w:rPr>
              <w:t>新增周期时填写周期编码、周期名称、报价有效期范围。新增弹窗字段之间需要保留合理间距，避免输入框贴在一起。</w:t>
            </w:r>
          </w:p>
        </w:tc>
      </w:tr>
      <w:tr w14:paraId="2E07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B641AC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B83">
            <w:pPr>
              <w:pStyle w:val="42"/>
              <w:bidi w:val="0"/>
              <w:rPr>
                <w:rFonts w:hint="default"/>
              </w:rPr>
            </w:pPr>
            <w:r>
              <w:rPr>
                <w:rFonts w:hint="default"/>
                <w:lang w:val="en-US" w:eastAsia="zh-CN"/>
              </w:rPr>
              <w:t>报价周期 - 编辑报价周期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CF3F">
            <w:pPr>
              <w:pStyle w:val="42"/>
              <w:bidi w:val="0"/>
              <w:rPr>
                <w:rFonts w:hint="default"/>
              </w:rPr>
            </w:pPr>
            <w:r>
              <w:rPr>
                <w:rFonts w:hint="default"/>
                <w:lang w:val="en-US" w:eastAsia="zh-CN"/>
              </w:rPr>
              <w:t>编辑未发布或允许调整的周期基础信息。已关闭或已产生历史订单的周期需要谨慎变更，避免影响数据解释。</w:t>
            </w:r>
          </w:p>
        </w:tc>
      </w:tr>
      <w:tr w14:paraId="5F03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ED576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C4B9A9">
            <w:pPr>
              <w:pStyle w:val="42"/>
              <w:bidi w:val="0"/>
              <w:rPr>
                <w:rFonts w:hint="default"/>
              </w:rPr>
            </w:pPr>
            <w:r>
              <w:rPr>
                <w:rFonts w:hint="default"/>
                <w:lang w:val="en-US" w:eastAsia="zh-CN"/>
              </w:rPr>
              <w:t>报价周期 - 指导价批量维护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F362D92">
            <w:pPr>
              <w:pStyle w:val="42"/>
              <w:bidi w:val="0"/>
              <w:rPr>
                <w:rFonts w:hint="default"/>
              </w:rPr>
            </w:pPr>
            <w:r>
              <w:rPr>
                <w:rFonts w:hint="default"/>
                <w:lang w:val="en-US" w:eastAsia="zh-CN"/>
              </w:rPr>
              <w:t>指导价页面左侧展示商品一级/二级分类树，右侧展示分类下商品和 SKU。平台方可在商品列表中逐行编辑指导价、上限浮动比例、下限浮动比例，并统一批量保存。</w:t>
            </w:r>
          </w:p>
        </w:tc>
      </w:tr>
      <w:tr w14:paraId="041D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4DAB6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5B21">
            <w:pPr>
              <w:pStyle w:val="42"/>
              <w:bidi w:val="0"/>
              <w:rPr>
                <w:rFonts w:hint="default"/>
              </w:rPr>
            </w:pPr>
            <w:r>
              <w:rPr>
                <w:rFonts w:hint="default"/>
                <w:lang w:val="en-US" w:eastAsia="zh-CN"/>
              </w:rPr>
              <w:t>报价周期 - 指导价模板下载</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842D">
            <w:pPr>
              <w:pStyle w:val="42"/>
              <w:bidi w:val="0"/>
              <w:rPr>
                <w:rFonts w:hint="default"/>
              </w:rPr>
            </w:pPr>
            <w:r>
              <w:rPr>
                <w:rFonts w:hint="default"/>
                <w:lang w:val="en-US" w:eastAsia="zh-CN"/>
              </w:rPr>
              <w:t>根据当前报价周期包含的商品和 SKU 生成 Excel 模板。模板包含商品名称、分类、SKU、单位、当前指导价、上限浮动、下限浮动等字段，便于线下批量维护。</w:t>
            </w:r>
          </w:p>
        </w:tc>
      </w:tr>
      <w:tr w14:paraId="19EF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22384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DF6EE7A">
            <w:pPr>
              <w:pStyle w:val="42"/>
              <w:bidi w:val="0"/>
              <w:rPr>
                <w:rFonts w:hint="default"/>
              </w:rPr>
            </w:pPr>
            <w:r>
              <w:rPr>
                <w:rFonts w:hint="default"/>
                <w:lang w:val="en-US" w:eastAsia="zh-CN"/>
              </w:rPr>
              <w:t>报价周期 - 指导价模板导入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7291C3D">
            <w:pPr>
              <w:pStyle w:val="42"/>
              <w:bidi w:val="0"/>
              <w:rPr>
                <w:rFonts w:hint="default"/>
              </w:rPr>
            </w:pPr>
            <w:r>
              <w:rPr>
                <w:rFonts w:hint="default"/>
                <w:lang w:val="en-US" w:eastAsia="zh-CN"/>
              </w:rPr>
              <w:t>平台方上传填写后的 Excel，系统校验商品、SKU、周期、指导价和浮动比例格式，校验通过后批量写入当前周期指导价。</w:t>
            </w:r>
          </w:p>
        </w:tc>
      </w:tr>
      <w:tr w14:paraId="16FC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E4C6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E29E">
            <w:pPr>
              <w:pStyle w:val="42"/>
              <w:bidi w:val="0"/>
              <w:rPr>
                <w:rFonts w:hint="default"/>
              </w:rPr>
            </w:pPr>
            <w:r>
              <w:rPr>
                <w:rFonts w:hint="default"/>
                <w:lang w:val="en-US" w:eastAsia="zh-CN"/>
              </w:rPr>
              <w:t>报价周期 - 发布周期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AEEA">
            <w:pPr>
              <w:pStyle w:val="42"/>
              <w:bidi w:val="0"/>
              <w:rPr>
                <w:rFonts w:hint="default"/>
              </w:rPr>
            </w:pPr>
            <w:r>
              <w:rPr>
                <w:rFonts w:hint="default"/>
                <w:lang w:val="en-US" w:eastAsia="zh-CN"/>
              </w:rPr>
              <w:t>发布后供应商方商品报价菜单可以看到该周期。未发布周期供应商不可报价。发布时应校验周期有效期、商品指导价和必要配置。</w:t>
            </w:r>
          </w:p>
        </w:tc>
      </w:tr>
      <w:tr w14:paraId="7928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FA39E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C90A7B">
            <w:pPr>
              <w:pStyle w:val="42"/>
              <w:bidi w:val="0"/>
              <w:rPr>
                <w:rFonts w:hint="default"/>
              </w:rPr>
            </w:pPr>
            <w:r>
              <w:rPr>
                <w:rFonts w:hint="default"/>
                <w:lang w:val="en-US" w:eastAsia="zh-CN"/>
              </w:rPr>
              <w:t>报价周期 - 关闭周期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EF6FC78">
            <w:pPr>
              <w:pStyle w:val="42"/>
              <w:bidi w:val="0"/>
              <w:rPr>
                <w:rFonts w:hint="default"/>
              </w:rPr>
            </w:pPr>
            <w:r>
              <w:rPr>
                <w:rFonts w:hint="default"/>
                <w:lang w:val="en-US" w:eastAsia="zh-CN"/>
              </w:rPr>
              <w:t>关闭后供应商不能继续报价，采购商城也不应继续展示该周期新上架商品。关闭不影响历史订单和历史对账。</w:t>
            </w:r>
          </w:p>
        </w:tc>
      </w:tr>
      <w:tr w14:paraId="33F8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71B8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303C">
            <w:pPr>
              <w:pStyle w:val="42"/>
              <w:bidi w:val="0"/>
              <w:rPr>
                <w:rFonts w:hint="default"/>
              </w:rPr>
            </w:pPr>
            <w:r>
              <w:rPr>
                <w:rFonts w:hint="default"/>
                <w:lang w:val="en-US" w:eastAsia="zh-CN"/>
              </w:rPr>
              <w:t>报价周期 - 生成上架结果</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FD33">
            <w:pPr>
              <w:pStyle w:val="42"/>
              <w:bidi w:val="0"/>
              <w:rPr>
                <w:rFonts w:hint="default"/>
              </w:rPr>
            </w:pPr>
            <w:r>
              <w:rPr>
                <w:rFonts w:hint="default"/>
                <w:lang w:val="en-US" w:eastAsia="zh-CN"/>
              </w:rPr>
              <w:t>平台方在供应商报价后生成上架结果。系统按有效报价排序，确定中选供应商和采购方上架价，并生成 PC/H5 商城可售商品池。</w:t>
            </w:r>
          </w:p>
        </w:tc>
      </w:tr>
      <w:tr w14:paraId="1FFD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2E28F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F3B4EC">
            <w:pPr>
              <w:pStyle w:val="42"/>
              <w:bidi w:val="0"/>
              <w:rPr>
                <w:rFonts w:hint="default"/>
              </w:rPr>
            </w:pPr>
            <w:r>
              <w:rPr>
                <w:rFonts w:hint="default"/>
                <w:lang w:val="en-US" w:eastAsia="zh-CN"/>
              </w:rPr>
              <w:t>报价周期 - 上架结果查看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46C18FB">
            <w:pPr>
              <w:pStyle w:val="42"/>
              <w:bidi w:val="0"/>
              <w:rPr>
                <w:rFonts w:hint="default"/>
              </w:rPr>
            </w:pPr>
            <w:r>
              <w:rPr>
                <w:rFonts w:hint="default"/>
                <w:lang w:val="en-US" w:eastAsia="zh-CN"/>
              </w:rPr>
              <w:t>上架结果中展示商品、SKU、指导价、中选供应商报价、采购方上架价、有效报价数、库存、生成时间和状态。</w:t>
            </w:r>
          </w:p>
        </w:tc>
      </w:tr>
      <w:tr w14:paraId="2FBD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813A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6846">
            <w:pPr>
              <w:pStyle w:val="42"/>
              <w:bidi w:val="0"/>
              <w:rPr>
                <w:rFonts w:hint="default"/>
              </w:rPr>
            </w:pPr>
            <w:r>
              <w:rPr>
                <w:rFonts w:hint="default"/>
                <w:lang w:val="en-US" w:eastAsia="zh-CN"/>
              </w:rPr>
              <w:t>报价周期 - 供应商报价清单查看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DF52">
            <w:pPr>
              <w:pStyle w:val="42"/>
              <w:bidi w:val="0"/>
              <w:rPr>
                <w:rFonts w:hint="default"/>
              </w:rPr>
            </w:pPr>
            <w:r>
              <w:rPr>
                <w:rFonts w:hint="default"/>
                <w:lang w:val="en-US" w:eastAsia="zh-CN"/>
              </w:rPr>
              <w:t>在上架结果有效报价数上增加可点击入口，点击后弹出当前商品全部供应商报价清单。清单展示供应商、报价、库存、可用库存、报价时间、是否中选、是否有效、无效原因。</w:t>
            </w:r>
          </w:p>
        </w:tc>
      </w:tr>
      <w:tr w14:paraId="1196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9BBC5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8A3532">
            <w:pPr>
              <w:pStyle w:val="42"/>
              <w:bidi w:val="0"/>
              <w:rPr>
                <w:rFonts w:hint="default"/>
              </w:rPr>
            </w:pPr>
            <w:r>
              <w:rPr>
                <w:rFonts w:hint="default"/>
                <w:lang w:val="en-US" w:eastAsia="zh-CN"/>
              </w:rPr>
              <w:t>报价周期 - 报价清单导出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2F4334">
            <w:pPr>
              <w:pStyle w:val="42"/>
              <w:bidi w:val="0"/>
              <w:rPr>
                <w:rFonts w:hint="default"/>
              </w:rPr>
            </w:pPr>
            <w:r>
              <w:rPr>
                <w:rFonts w:hint="default"/>
                <w:lang w:val="en-US" w:eastAsia="zh-CN"/>
              </w:rPr>
              <w:t>有效报价清单弹窗提供导出 Excel 功能，便于平台方留档、解释中选规则和处理供应商争议。</w:t>
            </w:r>
          </w:p>
        </w:tc>
      </w:tr>
      <w:tr w14:paraId="3591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BCD0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250C">
            <w:pPr>
              <w:pStyle w:val="42"/>
              <w:bidi w:val="0"/>
              <w:rPr>
                <w:rFonts w:hint="default"/>
              </w:rPr>
            </w:pPr>
            <w:r>
              <w:rPr>
                <w:rFonts w:hint="default"/>
                <w:lang w:val="en-US" w:eastAsia="zh-CN"/>
              </w:rPr>
              <w:t>报价周期 - 价格规则解释</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0C45">
            <w:pPr>
              <w:pStyle w:val="42"/>
              <w:bidi w:val="0"/>
              <w:rPr>
                <w:rFonts w:hint="default"/>
              </w:rPr>
            </w:pPr>
            <w:r>
              <w:rPr>
                <w:rFonts w:hint="default"/>
                <w:lang w:val="en-US" w:eastAsia="zh-CN"/>
              </w:rPr>
              <w:t>平台方可通过有效报价清单解释为什么某供应商中选、为什么采购方看到次低价、为什么同价情况下库存多或报价早的供应商优先。</w:t>
            </w:r>
          </w:p>
        </w:tc>
      </w:tr>
      <w:tr w14:paraId="49BC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665C8D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4906">
            <w:pPr>
              <w:pStyle w:val="42"/>
              <w:bidi w:val="0"/>
              <w:rPr>
                <w:rFonts w:hint="default"/>
              </w:rPr>
            </w:pPr>
            <w:r>
              <w:rPr>
                <w:rFonts w:hint="default"/>
                <w:lang w:val="en-US" w:eastAsia="zh-CN"/>
              </w:rPr>
              <w:t>商品报价 - 报价周期列表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BF10">
            <w:pPr>
              <w:pStyle w:val="42"/>
              <w:bidi w:val="0"/>
              <w:rPr>
                <w:rFonts w:hint="default"/>
              </w:rPr>
            </w:pPr>
            <w:r>
              <w:rPr>
                <w:rFonts w:hint="default"/>
                <w:lang w:val="en-US" w:eastAsia="zh-CN"/>
              </w:rPr>
              <w:t>查看平台方已发布且在报价有效期内的报价周期，列表展示周期编码、周期名称、有效期、可报价商品数量、已报价数量和未报价数量。</w:t>
            </w:r>
          </w:p>
        </w:tc>
      </w:tr>
      <w:tr w14:paraId="0BAFF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73D0B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51E6EC">
            <w:pPr>
              <w:pStyle w:val="42"/>
              <w:bidi w:val="0"/>
              <w:rPr>
                <w:rFonts w:hint="default"/>
              </w:rPr>
            </w:pPr>
            <w:r>
              <w:rPr>
                <w:rFonts w:hint="default"/>
                <w:lang w:val="en-US" w:eastAsia="zh-CN"/>
              </w:rPr>
              <w:t>商品报价 - 进入报价弹窗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F80B7A">
            <w:pPr>
              <w:pStyle w:val="42"/>
              <w:bidi w:val="0"/>
              <w:rPr>
                <w:rFonts w:hint="default"/>
              </w:rPr>
            </w:pPr>
            <w:r>
              <w:rPr>
                <w:rFonts w:hint="default"/>
                <w:lang w:val="en-US" w:eastAsia="zh-CN"/>
              </w:rPr>
              <w:t>点击报价周期的“进入报价”按钮后，在弹窗内以列表形式展示本周期可报价商品，供应商不需要跳转到页面底部，避免操作割裂。</w:t>
            </w:r>
          </w:p>
        </w:tc>
      </w:tr>
      <w:tr w14:paraId="76E2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2D0C5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B214">
            <w:pPr>
              <w:pStyle w:val="42"/>
              <w:bidi w:val="0"/>
              <w:rPr>
                <w:rFonts w:hint="default"/>
              </w:rPr>
            </w:pPr>
            <w:r>
              <w:rPr>
                <w:rFonts w:hint="default"/>
                <w:lang w:val="en-US" w:eastAsia="zh-CN"/>
              </w:rPr>
              <w:t>商品报价 - 列表内报价和库存编辑</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79C5">
            <w:pPr>
              <w:pStyle w:val="42"/>
              <w:bidi w:val="0"/>
              <w:rPr>
                <w:rFonts w:hint="default"/>
              </w:rPr>
            </w:pPr>
            <w:r>
              <w:rPr>
                <w:rFonts w:hint="default"/>
                <w:lang w:val="en-US" w:eastAsia="zh-CN"/>
              </w:rPr>
              <w:t>在周期商品列表内逐行填写供应商报价和库存。报价和库存均为可编辑列，供应商可以只报价部分商品，不强制全量报价。</w:t>
            </w:r>
          </w:p>
        </w:tc>
      </w:tr>
      <w:tr w14:paraId="0B65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E3B62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C481BFA">
            <w:pPr>
              <w:pStyle w:val="42"/>
              <w:bidi w:val="0"/>
              <w:rPr>
                <w:rFonts w:hint="default"/>
              </w:rPr>
            </w:pPr>
            <w:r>
              <w:rPr>
                <w:rFonts w:hint="default"/>
                <w:lang w:val="en-US" w:eastAsia="zh-CN"/>
              </w:rPr>
              <w:t>商品报价 - 报价区间校验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2407B">
            <w:pPr>
              <w:pStyle w:val="42"/>
              <w:bidi w:val="0"/>
              <w:rPr>
                <w:rFonts w:hint="default"/>
              </w:rPr>
            </w:pPr>
            <w:r>
              <w:rPr>
                <w:rFonts w:hint="default"/>
                <w:lang w:val="en-US" w:eastAsia="zh-CN"/>
              </w:rPr>
              <w:t>系统根据平台指导价和上下限浮动比例校验供应商报价，超出区间时提示错误，不允许作为有效报价保存。</w:t>
            </w:r>
          </w:p>
        </w:tc>
      </w:tr>
      <w:tr w14:paraId="4ABD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6FDCC0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792E">
            <w:pPr>
              <w:pStyle w:val="42"/>
              <w:bidi w:val="0"/>
              <w:rPr>
                <w:rFonts w:hint="default"/>
              </w:rPr>
            </w:pPr>
            <w:r>
              <w:rPr>
                <w:rFonts w:hint="default"/>
                <w:lang w:val="en-US" w:eastAsia="zh-CN"/>
              </w:rPr>
              <w:t>商品报价 - 批量保存报价</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438B">
            <w:pPr>
              <w:pStyle w:val="42"/>
              <w:bidi w:val="0"/>
              <w:rPr>
                <w:rFonts w:hint="default"/>
              </w:rPr>
            </w:pPr>
            <w:r>
              <w:rPr>
                <w:rFonts w:hint="default"/>
                <w:lang w:val="en-US" w:eastAsia="zh-CN"/>
              </w:rPr>
              <w:t>供应商填写多行报价和库存后一次性批量保存，提高大批量商品报价效率。</w:t>
            </w:r>
          </w:p>
        </w:tc>
      </w:tr>
      <w:tr w14:paraId="42F3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77D7B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334419">
            <w:pPr>
              <w:pStyle w:val="42"/>
              <w:bidi w:val="0"/>
              <w:rPr>
                <w:rFonts w:hint="default"/>
              </w:rPr>
            </w:pPr>
            <w:r>
              <w:rPr>
                <w:rFonts w:hint="default"/>
                <w:lang w:val="en-US" w:eastAsia="zh-CN"/>
              </w:rPr>
              <w:t>商品报价 - 下载报价模板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997664">
            <w:pPr>
              <w:pStyle w:val="42"/>
              <w:bidi w:val="0"/>
              <w:rPr>
                <w:rFonts w:hint="default"/>
              </w:rPr>
            </w:pPr>
            <w:r>
              <w:rPr>
                <w:rFonts w:hint="default"/>
                <w:lang w:val="en-US" w:eastAsia="zh-CN"/>
              </w:rPr>
              <w:t>根据当前报价周期生成供应商 Excel 报价模板。模板包含商品名称、SKU、单位、指导价、允许报价区间、报价、库存等列。</w:t>
            </w:r>
          </w:p>
        </w:tc>
      </w:tr>
      <w:tr w14:paraId="41B8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ED0B5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3B72">
            <w:pPr>
              <w:pStyle w:val="42"/>
              <w:bidi w:val="0"/>
              <w:rPr>
                <w:rFonts w:hint="default"/>
              </w:rPr>
            </w:pPr>
            <w:r>
              <w:rPr>
                <w:rFonts w:hint="default"/>
                <w:lang w:val="en-US" w:eastAsia="zh-CN"/>
              </w:rPr>
              <w:t>商品报价 - 上传报价模板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9BF2">
            <w:pPr>
              <w:pStyle w:val="42"/>
              <w:bidi w:val="0"/>
              <w:rPr>
                <w:rFonts w:hint="default"/>
              </w:rPr>
            </w:pPr>
            <w:r>
              <w:rPr>
                <w:rFonts w:hint="default"/>
                <w:lang w:val="en-US" w:eastAsia="zh-CN"/>
              </w:rPr>
              <w:t>供应商在线下 Excel 中填写报价和库存后上传导入，系统批量写入报价和库存，并校验商品、SKU、周期和报价区间。</w:t>
            </w:r>
          </w:p>
        </w:tc>
      </w:tr>
      <w:tr w14:paraId="58134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D7245E9">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EBE9D0">
            <w:pPr>
              <w:pStyle w:val="42"/>
              <w:bidi w:val="0"/>
              <w:rPr>
                <w:rFonts w:hint="default"/>
              </w:rPr>
            </w:pPr>
            <w:r>
              <w:rPr>
                <w:rFonts w:hint="default"/>
                <w:lang w:val="en-US" w:eastAsia="zh-CN"/>
              </w:rPr>
              <w:t>商品报价 - 报价时间记录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4BB1273">
            <w:pPr>
              <w:pStyle w:val="42"/>
              <w:bidi w:val="0"/>
              <w:rPr>
                <w:rFonts w:hint="default"/>
              </w:rPr>
            </w:pPr>
            <w:r>
              <w:rPr>
                <w:rFonts w:hint="default"/>
                <w:lang w:val="en-US" w:eastAsia="zh-CN"/>
              </w:rPr>
              <w:t>新增报价、修改报价、模板导入报价时记录或更新 quoted_at，用于平台生成上架结果时处理同价排序。</w:t>
            </w:r>
          </w:p>
        </w:tc>
      </w:tr>
      <w:tr w14:paraId="6FDE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6E23B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BDCC">
            <w:pPr>
              <w:pStyle w:val="42"/>
              <w:bidi w:val="0"/>
              <w:rPr>
                <w:rFonts w:hint="default"/>
              </w:rPr>
            </w:pPr>
            <w:r>
              <w:rPr>
                <w:rFonts w:hint="default"/>
                <w:lang w:val="en-US" w:eastAsia="zh-CN"/>
              </w:rPr>
              <w:t>商品报价 - 已上架报价按周期汇总</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8F1D">
            <w:pPr>
              <w:pStyle w:val="42"/>
              <w:bidi w:val="0"/>
              <w:rPr>
                <w:rFonts w:hint="default"/>
              </w:rPr>
            </w:pPr>
            <w:r>
              <w:rPr>
                <w:rFonts w:hint="default"/>
                <w:lang w:val="en-US" w:eastAsia="zh-CN"/>
              </w:rPr>
              <w:t>下方已上架报价列表按报价周期展示，不再简单平铺所有商品，便于供应商按周期查看历史报价。</w:t>
            </w:r>
          </w:p>
        </w:tc>
      </w:tr>
      <w:tr w14:paraId="798D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C404B9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EFFAD76">
            <w:pPr>
              <w:pStyle w:val="42"/>
              <w:bidi w:val="0"/>
              <w:rPr>
                <w:rFonts w:hint="default"/>
              </w:rPr>
            </w:pPr>
            <w:r>
              <w:rPr>
                <w:rFonts w:hint="default"/>
                <w:lang w:val="en-US" w:eastAsia="zh-CN"/>
              </w:rPr>
              <w:t>商品报价 - 查看已报价商品明细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314722">
            <w:pPr>
              <w:pStyle w:val="42"/>
              <w:bidi w:val="0"/>
              <w:rPr>
                <w:rFonts w:hint="default"/>
              </w:rPr>
            </w:pPr>
            <w:r>
              <w:rPr>
                <w:rFonts w:hint="default"/>
                <w:lang w:val="en-US" w:eastAsia="zh-CN"/>
              </w:rPr>
              <w:t>在报价周期行后点击查看，弹窗展示当前周期已报价商品明细，供应商可查看报价、库存、状态和上架情况。</w:t>
            </w:r>
          </w:p>
        </w:tc>
      </w:tr>
      <w:tr w14:paraId="1E2E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82448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C609">
            <w:pPr>
              <w:pStyle w:val="42"/>
              <w:bidi w:val="0"/>
              <w:rPr>
                <w:rFonts w:hint="default"/>
              </w:rPr>
            </w:pPr>
            <w:r>
              <w:rPr>
                <w:rFonts w:hint="default"/>
                <w:lang w:val="en-US" w:eastAsia="zh-CN"/>
              </w:rPr>
              <w:t>商品报价 - 修改库存</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D37D">
            <w:pPr>
              <w:pStyle w:val="42"/>
              <w:bidi w:val="0"/>
              <w:rPr>
                <w:rFonts w:hint="default"/>
              </w:rPr>
            </w:pPr>
            <w:r>
              <w:rPr>
                <w:rFonts w:hint="default"/>
                <w:lang w:val="en-US" w:eastAsia="zh-CN"/>
              </w:rPr>
              <w:t>供应商可在已报价商品明细中修改库存。只修改库存不刷新报价时间。</w:t>
            </w:r>
          </w:p>
        </w:tc>
      </w:tr>
      <w:tr w14:paraId="77D1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80EA3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67063E8">
            <w:pPr>
              <w:pStyle w:val="42"/>
              <w:bidi w:val="0"/>
              <w:rPr>
                <w:rFonts w:hint="default"/>
              </w:rPr>
            </w:pPr>
            <w:r>
              <w:rPr>
                <w:rFonts w:hint="default"/>
                <w:lang w:val="en-US" w:eastAsia="zh-CN"/>
              </w:rPr>
              <w:t>商品报价 - 下架或恢复供货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A9C861">
            <w:pPr>
              <w:pStyle w:val="42"/>
              <w:bidi w:val="0"/>
              <w:rPr>
                <w:rFonts w:hint="default"/>
              </w:rPr>
            </w:pPr>
            <w:r>
              <w:rPr>
                <w:rFonts w:hint="default"/>
                <w:lang w:val="en-US" w:eastAsia="zh-CN"/>
              </w:rPr>
              <w:t>供应商可对已报价商品执行下架或恢复供货。下架后不参与新的可售展示，但不影响历史订单。</w:t>
            </w:r>
          </w:p>
        </w:tc>
      </w:tr>
      <w:tr w14:paraId="023B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7A97BC">
            <w:pPr>
              <w:pStyle w:val="42"/>
              <w:bidi w:val="0"/>
              <w:rPr>
                <w:rFonts w:hint="default"/>
              </w:rPr>
            </w:pPr>
            <w:r>
              <w:rPr>
                <w:rFonts w:hint="default"/>
                <w:lang w:val="en-US" w:eastAsia="zh-CN"/>
              </w:rPr>
              <w:t>对账与结算管理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9E3DC4">
            <w:pPr>
              <w:pStyle w:val="42"/>
              <w:bidi w:val="0"/>
              <w:rPr>
                <w:rFonts w:hint="default"/>
              </w:rPr>
            </w:pPr>
            <w:r>
              <w:rPr>
                <w:rFonts w:hint="default"/>
                <w:lang w:val="en-US" w:eastAsia="zh-CN"/>
              </w:rPr>
              <w:t>报表中心 - 库房统计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2DA0C8">
            <w:pPr>
              <w:pStyle w:val="42"/>
              <w:bidi w:val="0"/>
              <w:rPr>
                <w:rFonts w:hint="default"/>
              </w:rPr>
            </w:pPr>
            <w:r>
              <w:rPr>
                <w:rFonts w:hint="default"/>
                <w:lang w:val="en-US" w:eastAsia="zh-CN"/>
              </w:rPr>
              <w:t>统计入库、出库、库存余量、作业单量和库存变动趋势。</w:t>
            </w:r>
          </w:p>
        </w:tc>
      </w:tr>
      <w:tr w14:paraId="30B8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7C84E0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CF3A">
            <w:pPr>
              <w:pStyle w:val="42"/>
              <w:bidi w:val="0"/>
              <w:rPr>
                <w:rFonts w:hint="default"/>
              </w:rPr>
            </w:pPr>
            <w:r>
              <w:rPr>
                <w:rFonts w:hint="default"/>
                <w:lang w:val="en-US" w:eastAsia="zh-CN"/>
              </w:rPr>
              <w:t>价差报表 - 平台价差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1D28">
            <w:pPr>
              <w:pStyle w:val="42"/>
              <w:bidi w:val="0"/>
              <w:rPr>
                <w:rFonts w:hint="default"/>
              </w:rPr>
            </w:pPr>
            <w:r>
              <w:rPr>
                <w:rFonts w:hint="default"/>
                <w:lang w:val="en-US" w:eastAsia="zh-CN"/>
              </w:rPr>
              <w:t>比较采购方上架价和供应商报价，计算价差金额、价差率和订单级价差明细。</w:t>
            </w:r>
          </w:p>
        </w:tc>
      </w:tr>
      <w:tr w14:paraId="3CC38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6AC67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AC84625">
            <w:pPr>
              <w:pStyle w:val="42"/>
              <w:bidi w:val="0"/>
              <w:rPr>
                <w:rFonts w:hint="default"/>
              </w:rPr>
            </w:pPr>
            <w:r>
              <w:rPr>
                <w:rFonts w:hint="default"/>
                <w:lang w:val="en-US" w:eastAsia="zh-CN"/>
              </w:rPr>
              <w:t>导出能力 - 报表导出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426523">
            <w:pPr>
              <w:pStyle w:val="42"/>
              <w:bidi w:val="0"/>
              <w:rPr>
                <w:rFonts w:hint="default"/>
              </w:rPr>
            </w:pPr>
            <w:r>
              <w:rPr>
                <w:rFonts w:hint="default"/>
                <w:lang w:val="en-US" w:eastAsia="zh-CN"/>
              </w:rPr>
              <w:t>商品统计、有效报价清单、部分业务列表支持导出 Excel 或 CSV，便于线下汇总和审计。</w:t>
            </w:r>
          </w:p>
        </w:tc>
      </w:tr>
      <w:tr w14:paraId="40F3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A43C9D1">
            <w:pPr>
              <w:pStyle w:val="42"/>
              <w:bidi w:val="0"/>
              <w:rPr>
                <w:rFonts w:hint="default"/>
              </w:rPr>
            </w:pPr>
            <w:r>
              <w:rPr>
                <w:rFonts w:hint="default"/>
                <w:lang w:val="en-US" w:eastAsia="zh-CN"/>
              </w:rPr>
              <w:t>订单与交易管理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8E3C">
            <w:pPr>
              <w:pStyle w:val="42"/>
              <w:bidi w:val="0"/>
              <w:rPr>
                <w:rFonts w:hint="default"/>
              </w:rPr>
            </w:pPr>
            <w:r>
              <w:rPr>
                <w:rFonts w:hint="default"/>
                <w:lang w:val="en-US" w:eastAsia="zh-CN"/>
              </w:rPr>
              <w:t>订单状态查询条件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37FE">
            <w:pPr>
              <w:pStyle w:val="42"/>
              <w:bidi w:val="0"/>
              <w:rPr>
                <w:rFonts w:hint="default"/>
              </w:rPr>
            </w:pPr>
            <w:r>
              <w:rPr>
                <w:rFonts w:hint="default"/>
                <w:lang w:val="en-US" w:eastAsia="zh-CN"/>
              </w:rPr>
              <w:t>平台方、供应商方、采购方、库房方订单相关列表均应支持订单状态查询，方便按待接单、配送中、待入库、待收货、已完成等状态过滤。</w:t>
            </w:r>
          </w:p>
        </w:tc>
      </w:tr>
      <w:tr w14:paraId="19F6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ED327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1600F88">
            <w:pPr>
              <w:pStyle w:val="42"/>
              <w:bidi w:val="0"/>
              <w:rPr>
                <w:rFonts w:hint="default"/>
              </w:rPr>
            </w:pPr>
            <w:r>
              <w:rPr>
                <w:rFonts w:hint="default"/>
                <w:lang w:val="en-US" w:eastAsia="zh-CN"/>
              </w:rPr>
              <w:t>匿名报价汇总 - 匿名商品汇总</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B17D1E">
            <w:pPr>
              <w:pStyle w:val="42"/>
              <w:bidi w:val="0"/>
              <w:rPr>
                <w:rFonts w:hint="default"/>
              </w:rPr>
            </w:pPr>
            <w:r>
              <w:rPr>
                <w:rFonts w:hint="default"/>
                <w:lang w:val="en-US" w:eastAsia="zh-CN"/>
              </w:rPr>
              <w:t>平台方从商品维度查看供应商报价形成的可售商品池，不向采购方展示供应商身份。</w:t>
            </w:r>
          </w:p>
        </w:tc>
      </w:tr>
      <w:tr w14:paraId="2448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8E4481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E3F9">
            <w:pPr>
              <w:pStyle w:val="42"/>
              <w:bidi w:val="0"/>
              <w:rPr>
                <w:rFonts w:hint="default"/>
              </w:rPr>
            </w:pPr>
            <w:r>
              <w:rPr>
                <w:rFonts w:hint="default"/>
                <w:lang w:val="en-US" w:eastAsia="zh-CN"/>
              </w:rPr>
              <w:t>订单监管 - 订单列表查询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0EB6">
            <w:pPr>
              <w:pStyle w:val="42"/>
              <w:bidi w:val="0"/>
              <w:rPr>
                <w:rFonts w:hint="default"/>
              </w:rPr>
            </w:pPr>
            <w:r>
              <w:rPr>
                <w:rFonts w:hint="default"/>
                <w:lang w:val="en-US" w:eastAsia="zh-CN"/>
              </w:rPr>
              <w:t>平台方可按订单状态、时间、采购方编号、订单号等条件查询订单。时间支持“本周期”快捷选择，本周期表示昨天 18:00 到今天 18:00。</w:t>
            </w:r>
          </w:p>
        </w:tc>
      </w:tr>
      <w:tr w14:paraId="6D90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3C3F1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4515B6">
            <w:pPr>
              <w:pStyle w:val="42"/>
              <w:bidi w:val="0"/>
              <w:rPr>
                <w:rFonts w:hint="default"/>
              </w:rPr>
            </w:pPr>
            <w:r>
              <w:rPr>
                <w:rFonts w:hint="default"/>
                <w:lang w:val="en-US" w:eastAsia="zh-CN"/>
              </w:rPr>
              <w:t>订单监管 - 订单详情查看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F5FD026">
            <w:pPr>
              <w:pStyle w:val="42"/>
              <w:bidi w:val="0"/>
              <w:rPr>
                <w:rFonts w:hint="default"/>
              </w:rPr>
            </w:pPr>
            <w:r>
              <w:rPr>
                <w:rFonts w:hint="default"/>
                <w:lang w:val="en-US" w:eastAsia="zh-CN"/>
              </w:rPr>
              <w:t>平台方查看采购父订单、供应商子订单、商品明细、价格快照、状态日志、接单截止时间、配送状态、入库出库状态和收货状态。</w:t>
            </w:r>
          </w:p>
        </w:tc>
      </w:tr>
      <w:tr w14:paraId="587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F595E6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106A">
            <w:pPr>
              <w:pStyle w:val="42"/>
              <w:bidi w:val="0"/>
              <w:rPr>
                <w:rFonts w:hint="default"/>
              </w:rPr>
            </w:pPr>
            <w:r>
              <w:rPr>
                <w:rFonts w:hint="default"/>
                <w:lang w:val="en-US" w:eastAsia="zh-CN"/>
              </w:rPr>
              <w:t>订单监管 - 待接单供应商展示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092D">
            <w:pPr>
              <w:pStyle w:val="42"/>
              <w:bidi w:val="0"/>
              <w:rPr>
                <w:rFonts w:hint="default"/>
              </w:rPr>
            </w:pPr>
            <w:r>
              <w:rPr>
                <w:rFonts w:hint="default"/>
                <w:lang w:val="en-US" w:eastAsia="zh-CN"/>
              </w:rPr>
              <w:t>在供应商接单前，平台方订单详情中展示供应商名称和剩余接单时间，便于平台方及时催单。</w:t>
            </w:r>
          </w:p>
        </w:tc>
      </w:tr>
      <w:tr w14:paraId="0A84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503A3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384C79F">
            <w:pPr>
              <w:pStyle w:val="42"/>
              <w:bidi w:val="0"/>
              <w:rPr>
                <w:rFonts w:hint="default"/>
              </w:rPr>
            </w:pPr>
            <w:r>
              <w:rPr>
                <w:rFonts w:hint="default"/>
                <w:lang w:val="en-US" w:eastAsia="zh-CN"/>
              </w:rPr>
              <w:t>订单监管 - 调换供应商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7810B9">
            <w:pPr>
              <w:pStyle w:val="42"/>
              <w:bidi w:val="0"/>
              <w:rPr>
                <w:rFonts w:hint="default"/>
              </w:rPr>
            </w:pPr>
            <w:r>
              <w:rPr>
                <w:rFonts w:hint="default"/>
                <w:lang w:val="en-US" w:eastAsia="zh-CN"/>
              </w:rPr>
              <w:t>对超时未接单、需要重新推送或平台主动调整的供应商子订单，平台方可选择新的供应商或当前供应商重新推送。</w:t>
            </w:r>
          </w:p>
        </w:tc>
      </w:tr>
      <w:tr w14:paraId="0558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57E622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3E62">
            <w:pPr>
              <w:pStyle w:val="42"/>
              <w:bidi w:val="0"/>
              <w:rPr>
                <w:rFonts w:hint="default"/>
              </w:rPr>
            </w:pPr>
            <w:r>
              <w:rPr>
                <w:rFonts w:hint="default"/>
                <w:lang w:val="en-US" w:eastAsia="zh-CN"/>
              </w:rPr>
              <w:t>订单监管 - 当前供应商重新推送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DD5D">
            <w:pPr>
              <w:pStyle w:val="42"/>
              <w:bidi w:val="0"/>
              <w:rPr>
                <w:rFonts w:hint="default"/>
              </w:rPr>
            </w:pPr>
            <w:r>
              <w:rPr>
                <w:rFonts w:hint="default"/>
                <w:lang w:val="en-US" w:eastAsia="zh-CN"/>
              </w:rPr>
              <w:t>调换供应商候选列表中显示当前供应商并标记，平台方可选择当前供应商再次推送接单。</w:t>
            </w:r>
          </w:p>
        </w:tc>
      </w:tr>
      <w:tr w14:paraId="5D0A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7BA64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C02ED68">
            <w:pPr>
              <w:pStyle w:val="42"/>
              <w:bidi w:val="0"/>
              <w:rPr>
                <w:rFonts w:hint="default"/>
              </w:rPr>
            </w:pPr>
            <w:r>
              <w:rPr>
                <w:rFonts w:hint="default"/>
                <w:lang w:val="en-US" w:eastAsia="zh-CN"/>
              </w:rPr>
              <w:t>订单监管 - 订单状态监管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0CA548">
            <w:pPr>
              <w:pStyle w:val="42"/>
              <w:bidi w:val="0"/>
              <w:rPr>
                <w:rFonts w:hint="default"/>
              </w:rPr>
            </w:pPr>
            <w:r>
              <w:rPr>
                <w:rFonts w:hint="default"/>
                <w:lang w:val="en-US" w:eastAsia="zh-CN"/>
              </w:rPr>
              <w:t>平台方可监管从采购下单、供应商待接单、供应商已接单、配送中、配送完成、库房入库、库房出库、采购方确认收货到完成的全流程。</w:t>
            </w:r>
          </w:p>
        </w:tc>
      </w:tr>
      <w:tr w14:paraId="7441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96BE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C39E">
            <w:pPr>
              <w:pStyle w:val="42"/>
              <w:bidi w:val="0"/>
              <w:rPr>
                <w:rFonts w:hint="default"/>
              </w:rPr>
            </w:pPr>
            <w:r>
              <w:rPr>
                <w:rFonts w:hint="default"/>
                <w:lang w:val="en-US" w:eastAsia="zh-CN"/>
              </w:rPr>
              <w:t>订单监管 - 供应商订单列表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3FE8">
            <w:pPr>
              <w:pStyle w:val="42"/>
              <w:bidi w:val="0"/>
              <w:rPr>
                <w:rFonts w:hint="default"/>
              </w:rPr>
            </w:pPr>
            <w:r>
              <w:rPr>
                <w:rFonts w:hint="default"/>
                <w:lang w:val="en-US" w:eastAsia="zh-CN"/>
              </w:rPr>
              <w:t>供应商只查看本供应商组织相关子订单。列表支持按订单状态、时间、采购方编号、订单号等条件查询。</w:t>
            </w:r>
          </w:p>
        </w:tc>
      </w:tr>
      <w:tr w14:paraId="4F33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258C6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D5709B">
            <w:pPr>
              <w:pStyle w:val="42"/>
              <w:bidi w:val="0"/>
              <w:rPr>
                <w:rFonts w:hint="default"/>
              </w:rPr>
            </w:pPr>
            <w:r>
              <w:rPr>
                <w:rFonts w:hint="default"/>
                <w:lang w:val="en-US" w:eastAsia="zh-CN"/>
              </w:rPr>
              <w:t>订单监管 - 接单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F6A383">
            <w:pPr>
              <w:pStyle w:val="42"/>
              <w:bidi w:val="0"/>
              <w:rPr>
                <w:rFonts w:hint="default"/>
              </w:rPr>
            </w:pPr>
            <w:r>
              <w:rPr>
                <w:rFonts w:hint="default"/>
                <w:lang w:val="en-US" w:eastAsia="zh-CN"/>
              </w:rPr>
              <w:t>供应商在接单时限内点击接单，订单状态变为供应商已接单。接单后才允许打印商品贴货码和进入配送流程。</w:t>
            </w:r>
          </w:p>
        </w:tc>
      </w:tr>
      <w:tr w14:paraId="3B4B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238E60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EAAB">
            <w:pPr>
              <w:pStyle w:val="42"/>
              <w:bidi w:val="0"/>
              <w:rPr>
                <w:rFonts w:hint="default"/>
              </w:rPr>
            </w:pPr>
            <w:r>
              <w:rPr>
                <w:rFonts w:hint="default"/>
                <w:lang w:val="en-US" w:eastAsia="zh-CN"/>
              </w:rPr>
              <w:t>订单监管 - 隐藏拒单按钮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F421D">
            <w:pPr>
              <w:pStyle w:val="42"/>
              <w:bidi w:val="0"/>
              <w:rPr>
                <w:rFonts w:hint="default"/>
              </w:rPr>
            </w:pPr>
            <w:r>
              <w:rPr>
                <w:rFonts w:hint="default"/>
                <w:lang w:val="en-US" w:eastAsia="zh-CN"/>
              </w:rPr>
              <w:t>供应商方订单监管中不再提供拒单按钮。后端可保留兼容接口用于历史数据，但新业务界面不允许供应商主动拒单。</w:t>
            </w:r>
          </w:p>
        </w:tc>
      </w:tr>
      <w:tr w14:paraId="0D8A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10B43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EE1D8C3">
            <w:pPr>
              <w:pStyle w:val="42"/>
              <w:bidi w:val="0"/>
              <w:rPr>
                <w:rFonts w:hint="default"/>
              </w:rPr>
            </w:pPr>
            <w:r>
              <w:rPr>
                <w:rFonts w:hint="default"/>
                <w:lang w:val="en-US" w:eastAsia="zh-CN"/>
              </w:rPr>
              <w:t>订单监管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D33645">
            <w:pPr>
              <w:pStyle w:val="42"/>
              <w:bidi w:val="0"/>
              <w:rPr>
                <w:rFonts w:hint="default"/>
              </w:rPr>
            </w:pPr>
            <w:r>
              <w:rPr>
                <w:rFonts w:hint="default"/>
                <w:lang w:val="en-US" w:eastAsia="zh-CN"/>
              </w:rPr>
              <w:t>供应商查看订单商品明细、供应商报价价格、数量、规格、库位、配送状态和状态日志。供应商侧价格为本供应商报价，不显示采购方次低价价差逻辑。</w:t>
            </w:r>
          </w:p>
        </w:tc>
      </w:tr>
      <w:tr w14:paraId="54A6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3BFAC82">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EC51">
            <w:pPr>
              <w:pStyle w:val="42"/>
              <w:bidi w:val="0"/>
              <w:rPr>
                <w:rFonts w:hint="default"/>
              </w:rPr>
            </w:pPr>
            <w:r>
              <w:rPr>
                <w:rFonts w:hint="default"/>
                <w:lang w:val="en-US" w:eastAsia="zh-CN"/>
              </w:rPr>
              <w:t>订单监管 - 打印货物清单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A33C">
            <w:pPr>
              <w:pStyle w:val="42"/>
              <w:bidi w:val="0"/>
              <w:rPr>
                <w:rFonts w:hint="default"/>
              </w:rPr>
            </w:pPr>
            <w:r>
              <w:rPr>
                <w:rFonts w:hint="default"/>
                <w:lang w:val="en-US" w:eastAsia="zh-CN"/>
              </w:rPr>
              <w:t>供应商可打印“主粮串换食品货物清单”。模板中项目名称和订单号一行展示，采购方编号和送货日期一行展示，商品清单用于线下发货核对。</w:t>
            </w:r>
          </w:p>
        </w:tc>
      </w:tr>
      <w:tr w14:paraId="016C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995F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C3AF79">
            <w:pPr>
              <w:pStyle w:val="42"/>
              <w:bidi w:val="0"/>
              <w:rPr>
                <w:rFonts w:hint="default"/>
              </w:rPr>
            </w:pPr>
            <w:r>
              <w:rPr>
                <w:rFonts w:hint="default"/>
                <w:lang w:val="en-US" w:eastAsia="zh-CN"/>
              </w:rPr>
              <w:t>订单监管 - 商品贴货码入口</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D08109">
            <w:pPr>
              <w:pStyle w:val="42"/>
              <w:bidi w:val="0"/>
              <w:rPr>
                <w:rFonts w:hint="default"/>
              </w:rPr>
            </w:pPr>
            <w:r>
              <w:rPr>
                <w:rFonts w:hint="default"/>
                <w:lang w:val="en-US" w:eastAsia="zh-CN"/>
              </w:rPr>
              <w:t>在订单详情的商品明细每一行后提供“打印贴货码”按钮，每个商品单独生成标签。</w:t>
            </w:r>
          </w:p>
        </w:tc>
      </w:tr>
      <w:tr w14:paraId="111C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DD929A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8BF6">
            <w:pPr>
              <w:pStyle w:val="42"/>
              <w:bidi w:val="0"/>
              <w:rPr>
                <w:rFonts w:hint="default"/>
              </w:rPr>
            </w:pPr>
            <w:r>
              <w:rPr>
                <w:rFonts w:hint="default"/>
                <w:lang w:val="en-US" w:eastAsia="zh-CN"/>
              </w:rPr>
              <w:t>订单监管 - 商品贴货码内容</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D3D8">
            <w:pPr>
              <w:pStyle w:val="42"/>
              <w:bidi w:val="0"/>
              <w:rPr>
                <w:rFonts w:hint="default"/>
              </w:rPr>
            </w:pPr>
            <w:r>
              <w:rPr>
                <w:rFonts w:hint="default"/>
                <w:lang w:val="en-US" w:eastAsia="zh-CN"/>
              </w:rPr>
              <w:t>标签展示商品名称、数量、规格等信息，库位字段在底部突出显示。二维码内容直接为订单号，方便扫码查询订单。</w:t>
            </w:r>
          </w:p>
        </w:tc>
      </w:tr>
      <w:tr w14:paraId="148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BAFCFF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484390">
            <w:pPr>
              <w:pStyle w:val="42"/>
              <w:bidi w:val="0"/>
              <w:rPr>
                <w:rFonts w:hint="default"/>
              </w:rPr>
            </w:pPr>
            <w:r>
              <w:rPr>
                <w:rFonts w:hint="default"/>
                <w:lang w:val="en-US" w:eastAsia="zh-CN"/>
              </w:rPr>
              <w:t>订单监管 - 贴货码打印数量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7F5CD">
            <w:pPr>
              <w:pStyle w:val="42"/>
              <w:bidi w:val="0"/>
              <w:rPr>
                <w:rFonts w:hint="default"/>
              </w:rPr>
            </w:pPr>
            <w:r>
              <w:rPr>
                <w:rFonts w:hint="default"/>
                <w:lang w:val="en-US" w:eastAsia="zh-CN"/>
              </w:rPr>
              <w:t>打印弹窗支持选择打印几张贴货码，以及每张标签对应几个商品，适配热敏标签机和现场分包贴货需求。</w:t>
            </w:r>
          </w:p>
        </w:tc>
      </w:tr>
      <w:tr w14:paraId="003A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6C690A">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0A82">
            <w:pPr>
              <w:pStyle w:val="42"/>
              <w:bidi w:val="0"/>
              <w:rPr>
                <w:rFonts w:hint="default"/>
              </w:rPr>
            </w:pPr>
            <w:r>
              <w:rPr>
                <w:rFonts w:hint="default"/>
                <w:lang w:val="en-US" w:eastAsia="zh-CN"/>
              </w:rPr>
              <w:t>配送作业 - 开始配送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1293">
            <w:pPr>
              <w:pStyle w:val="42"/>
              <w:bidi w:val="0"/>
              <w:rPr>
                <w:rFonts w:hint="default"/>
              </w:rPr>
            </w:pPr>
            <w:r>
              <w:rPr>
                <w:rFonts w:hint="default"/>
                <w:lang w:val="en-US" w:eastAsia="zh-CN"/>
              </w:rPr>
              <w:t>供应商接单后可执行配送，订单状态变为配送中，平台方、采购方和库房方可同步看到整体配送状态。</w:t>
            </w:r>
          </w:p>
        </w:tc>
      </w:tr>
      <w:tr w14:paraId="6A953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30D5B1">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F45BBA2">
            <w:pPr>
              <w:pStyle w:val="42"/>
              <w:bidi w:val="0"/>
              <w:rPr>
                <w:rFonts w:hint="default"/>
              </w:rPr>
            </w:pPr>
            <w:r>
              <w:rPr>
                <w:rFonts w:hint="default"/>
                <w:lang w:val="en-US" w:eastAsia="zh-CN"/>
              </w:rPr>
              <w:t>配送作业 - 配送完成</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8739256">
            <w:pPr>
              <w:pStyle w:val="42"/>
              <w:bidi w:val="0"/>
              <w:rPr>
                <w:rFonts w:hint="default"/>
              </w:rPr>
            </w:pPr>
            <w:r>
              <w:rPr>
                <w:rFonts w:hint="default"/>
                <w:lang w:val="en-US" w:eastAsia="zh-CN"/>
              </w:rPr>
              <w:t>供应商配送到平台统一库房后点击配送完成，订单进入配送完成待库房入库状态。</w:t>
            </w:r>
          </w:p>
        </w:tc>
      </w:tr>
      <w:tr w14:paraId="4CE6F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94125DC">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9C1AC09">
            <w:pPr>
              <w:pStyle w:val="42"/>
              <w:bidi w:val="0"/>
              <w:rPr>
                <w:rFonts w:hint="default"/>
              </w:rPr>
            </w:pPr>
            <w:r>
              <w:rPr>
                <w:rFonts w:hint="default"/>
                <w:lang w:val="en-US" w:eastAsia="zh-CN"/>
              </w:rPr>
              <w:t>采购订单 - 取消未接单订单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62FBA3">
            <w:pPr>
              <w:pStyle w:val="42"/>
              <w:bidi w:val="0"/>
              <w:rPr>
                <w:rFonts w:hint="default"/>
              </w:rPr>
            </w:pPr>
            <w:r>
              <w:rPr>
                <w:rFonts w:hint="default"/>
                <w:lang w:val="en-US" w:eastAsia="zh-CN"/>
              </w:rPr>
              <w:t>采购方可在所有供应商均未接单前取消订单。只要有供应商已经接单或进入后续履约状态，采购方不能直接取消。</w:t>
            </w:r>
          </w:p>
        </w:tc>
      </w:tr>
      <w:tr w14:paraId="34DE8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C93390">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8759">
            <w:pPr>
              <w:pStyle w:val="42"/>
              <w:bidi w:val="0"/>
              <w:rPr>
                <w:rFonts w:hint="default"/>
              </w:rPr>
            </w:pPr>
            <w:r>
              <w:rPr>
                <w:rFonts w:hint="default"/>
                <w:lang w:val="en-US" w:eastAsia="zh-CN"/>
              </w:rPr>
              <w:t>采购订单 - 状态同步</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5A91">
            <w:pPr>
              <w:pStyle w:val="42"/>
              <w:bidi w:val="0"/>
              <w:rPr>
                <w:rFonts w:hint="default"/>
              </w:rPr>
            </w:pPr>
            <w:r>
              <w:rPr>
                <w:rFonts w:hint="default"/>
                <w:lang w:val="en-US" w:eastAsia="zh-CN"/>
              </w:rPr>
              <w:t>采购方订单状态同步供应商接单、配送、库房入库、库房出库和待确认收货等整体状态。</w:t>
            </w:r>
          </w:p>
        </w:tc>
      </w:tr>
      <w:tr w14:paraId="3661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FEF7864">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72C8F3">
            <w:pPr>
              <w:pStyle w:val="42"/>
              <w:bidi w:val="0"/>
              <w:rPr>
                <w:rFonts w:hint="default"/>
              </w:rPr>
            </w:pPr>
            <w:r>
              <w:rPr>
                <w:rFonts w:hint="default"/>
                <w:lang w:val="en-US" w:eastAsia="zh-CN"/>
              </w:rPr>
              <w:t>采购订单 - 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0CA835F">
            <w:pPr>
              <w:pStyle w:val="42"/>
              <w:bidi w:val="0"/>
              <w:rPr>
                <w:rFonts w:hint="default"/>
              </w:rPr>
            </w:pPr>
            <w:r>
              <w:rPr>
                <w:rFonts w:hint="default"/>
                <w:lang w:val="en-US" w:eastAsia="zh-CN"/>
              </w:rPr>
              <w:t>库房方出库后，采购方可在采购订单中确认收货，订单完成。</w:t>
            </w:r>
          </w:p>
        </w:tc>
      </w:tr>
      <w:tr w14:paraId="6384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6C606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FDC5">
            <w:pPr>
              <w:pStyle w:val="42"/>
              <w:bidi w:val="0"/>
              <w:rPr>
                <w:rFonts w:hint="default"/>
              </w:rPr>
            </w:pPr>
            <w:r>
              <w:rPr>
                <w:rFonts w:hint="default"/>
                <w:lang w:val="en-US" w:eastAsia="zh-CN"/>
              </w:rPr>
              <w:t>采购订单 - 自动确认收货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853B">
            <w:pPr>
              <w:pStyle w:val="42"/>
              <w:bidi w:val="0"/>
              <w:rPr>
                <w:rFonts w:hint="default"/>
              </w:rPr>
            </w:pPr>
            <w:r>
              <w:rPr>
                <w:rFonts w:hint="default"/>
                <w:lang w:val="en-US" w:eastAsia="zh-CN"/>
              </w:rPr>
              <w:t>如果采购方未及时确认，系统可在配置时限后自动确认收货，并记录状态日志。</w:t>
            </w:r>
          </w:p>
        </w:tc>
      </w:tr>
      <w:tr w14:paraId="42B9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743AF87E">
            <w:pPr>
              <w:pStyle w:val="42"/>
              <w:bidi w:val="0"/>
              <w:rPr>
                <w:rFonts w:hint="default"/>
              </w:rPr>
            </w:pPr>
            <w:r>
              <w:rPr>
                <w:rFonts w:hint="default"/>
                <w:lang w:val="en-US" w:eastAsia="zh-CN"/>
              </w:rPr>
              <w:t>报表与数据统计</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481F682">
            <w:pPr>
              <w:pStyle w:val="42"/>
              <w:bidi w:val="0"/>
              <w:rPr>
                <w:rFonts w:hint="default"/>
              </w:rPr>
            </w:pPr>
            <w:r>
              <w:rPr>
                <w:rFonts w:hint="default"/>
                <w:lang w:val="en-US" w:eastAsia="zh-CN"/>
              </w:rPr>
              <w:t>时间范围与本周期快捷查询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0483E3">
            <w:pPr>
              <w:pStyle w:val="42"/>
              <w:bidi w:val="0"/>
              <w:rPr>
                <w:rFonts w:hint="default"/>
              </w:rPr>
            </w:pPr>
            <w:r>
              <w:rPr>
                <w:rFonts w:hint="default"/>
                <w:lang w:val="en-US" w:eastAsia="zh-CN"/>
              </w:rPr>
              <w:t>订单相关列表支持时间范围查询，并提供本周期快捷选项。</w:t>
            </w:r>
          </w:p>
        </w:tc>
      </w:tr>
      <w:tr w14:paraId="2D09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E900E5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012A">
            <w:pPr>
              <w:pStyle w:val="42"/>
              <w:bidi w:val="0"/>
              <w:rPr>
                <w:rFonts w:hint="default"/>
              </w:rPr>
            </w:pPr>
            <w:r>
              <w:rPr>
                <w:rFonts w:hint="default"/>
                <w:lang w:val="en-US" w:eastAsia="zh-CN"/>
              </w:rPr>
              <w:t>采购方编号查询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BA0D">
            <w:pPr>
              <w:pStyle w:val="42"/>
              <w:bidi w:val="0"/>
              <w:rPr>
                <w:rFonts w:hint="default"/>
              </w:rPr>
            </w:pPr>
            <w:r>
              <w:rPr>
                <w:rFonts w:hint="default"/>
                <w:lang w:val="en-US" w:eastAsia="zh-CN"/>
              </w:rPr>
              <w:t>订单监管、采购订单、配送作业、出库记录等列表支持采购方编号查询，便于按单位定位业务数据。</w:t>
            </w:r>
          </w:p>
        </w:tc>
      </w:tr>
      <w:tr w14:paraId="670B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CAB3CD">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D29E35">
            <w:pPr>
              <w:pStyle w:val="42"/>
              <w:bidi w:val="0"/>
              <w:rPr>
                <w:rFonts w:hint="default"/>
              </w:rPr>
            </w:pPr>
            <w:r>
              <w:rPr>
                <w:rFonts w:hint="default"/>
                <w:lang w:val="en-US" w:eastAsia="zh-CN"/>
              </w:rPr>
              <w:t>对账管理 - 对账监管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73B17F">
            <w:pPr>
              <w:pStyle w:val="42"/>
              <w:bidi w:val="0"/>
              <w:rPr>
                <w:rFonts w:hint="default"/>
              </w:rPr>
            </w:pPr>
            <w:r>
              <w:rPr>
                <w:rFonts w:hint="default"/>
                <w:lang w:val="en-US" w:eastAsia="zh-CN"/>
              </w:rPr>
              <w:t>平台方可查看供应商和采购方对账单、金额、状态和明细。平台方不替代供应商或采购方确认对账，但可监管数据。</w:t>
            </w:r>
          </w:p>
        </w:tc>
      </w:tr>
      <w:tr w14:paraId="7C04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DF3116">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FC3B">
            <w:pPr>
              <w:pStyle w:val="42"/>
              <w:bidi w:val="0"/>
              <w:rPr>
                <w:rFonts w:hint="default"/>
              </w:rPr>
            </w:pPr>
            <w:r>
              <w:rPr>
                <w:rFonts w:hint="default"/>
                <w:lang w:val="en-US" w:eastAsia="zh-CN"/>
              </w:rPr>
              <w:t>报表中心 - 运营报表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AB933">
            <w:pPr>
              <w:pStyle w:val="42"/>
              <w:bidi w:val="0"/>
              <w:rPr>
                <w:rFonts w:hint="default"/>
              </w:rPr>
            </w:pPr>
            <w:r>
              <w:rPr>
                <w:rFonts w:hint="default"/>
                <w:lang w:val="en-US" w:eastAsia="zh-CN"/>
              </w:rPr>
              <w:t>查看订单量、订单金额、商品销量、履约率、供应商排行、采购方统计和商品统计。</w:t>
            </w:r>
          </w:p>
        </w:tc>
      </w:tr>
      <w:tr w14:paraId="7A9F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82231BF">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AEB5A2">
            <w:pPr>
              <w:pStyle w:val="42"/>
              <w:bidi w:val="0"/>
              <w:rPr>
                <w:rFonts w:hint="default"/>
              </w:rPr>
            </w:pPr>
            <w:r>
              <w:rPr>
                <w:rFonts w:hint="default"/>
                <w:lang w:val="en-US" w:eastAsia="zh-CN"/>
              </w:rPr>
              <w:t>报表中心 - 价差报表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B5BBD">
            <w:pPr>
              <w:pStyle w:val="42"/>
              <w:bidi w:val="0"/>
              <w:rPr>
                <w:rFonts w:hint="default"/>
              </w:rPr>
            </w:pPr>
            <w:r>
              <w:rPr>
                <w:rFonts w:hint="default"/>
                <w:lang w:val="en-US" w:eastAsia="zh-CN"/>
              </w:rPr>
              <w:t>查看采购方上架价订单金额、供应商报价结算金额、价差金额和价差率。该报表用于平台对价格规则和业务收益进行分析。</w:t>
            </w:r>
          </w:p>
        </w:tc>
      </w:tr>
      <w:tr w14:paraId="3BDB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42321CB">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242B598">
            <w:pPr>
              <w:pStyle w:val="42"/>
              <w:bidi w:val="0"/>
              <w:rPr>
                <w:rFonts w:hint="default"/>
              </w:rPr>
            </w:pPr>
            <w:r>
              <w:rPr>
                <w:rFonts w:hint="default"/>
                <w:lang w:val="en-US" w:eastAsia="zh-CN"/>
              </w:rPr>
              <w:t>对账管理 - 供应商对账单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9C052C">
            <w:pPr>
              <w:pStyle w:val="42"/>
              <w:bidi w:val="0"/>
              <w:rPr>
                <w:rFonts w:hint="default"/>
              </w:rPr>
            </w:pPr>
            <w:r>
              <w:rPr>
                <w:rFonts w:hint="default"/>
                <w:lang w:val="en-US" w:eastAsia="zh-CN"/>
              </w:rPr>
              <w:t>供应商按周期或时间生成对账单，金额以供应商报价订单快照为准，不受采购方次低价展示影响。</w:t>
            </w:r>
          </w:p>
        </w:tc>
      </w:tr>
      <w:tr w14:paraId="515E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E7F6DE5">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E2F1">
            <w:pPr>
              <w:pStyle w:val="42"/>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20F7">
            <w:pPr>
              <w:pStyle w:val="42"/>
              <w:bidi w:val="0"/>
              <w:rPr>
                <w:rFonts w:hint="default"/>
              </w:rPr>
            </w:pPr>
            <w:r>
              <w:rPr>
                <w:rFonts w:hint="default"/>
                <w:lang w:val="en-US" w:eastAsia="zh-CN"/>
              </w:rPr>
              <w:t>供应商可确认对账单，也可对金额或明细提出异议，平台方可监管处理。</w:t>
            </w:r>
          </w:p>
        </w:tc>
      </w:tr>
      <w:tr w14:paraId="7C58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14EABFE">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26725">
            <w:pPr>
              <w:pStyle w:val="42"/>
              <w:bidi w:val="0"/>
              <w:rPr>
                <w:rFonts w:hint="default"/>
              </w:rPr>
            </w:pPr>
            <w:r>
              <w:rPr>
                <w:rFonts w:hint="default"/>
                <w:lang w:val="en-US" w:eastAsia="zh-CN"/>
              </w:rPr>
              <w:t>报表中心 - 供应商报表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110F0E5">
            <w:pPr>
              <w:pStyle w:val="42"/>
              <w:bidi w:val="0"/>
              <w:rPr>
                <w:rFonts w:hint="default"/>
              </w:rPr>
            </w:pPr>
            <w:r>
              <w:rPr>
                <w:rFonts w:hint="default"/>
                <w:lang w:val="en-US" w:eastAsia="zh-CN"/>
              </w:rPr>
              <w:t>供应商查看本组织订单量、配送履约、商品销量、结算金额和状态统计。</w:t>
            </w:r>
          </w:p>
        </w:tc>
      </w:tr>
      <w:tr w14:paraId="5535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32D8F7">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9526AE8">
            <w:pPr>
              <w:pStyle w:val="42"/>
              <w:bidi w:val="0"/>
              <w:rPr>
                <w:rFonts w:hint="default"/>
              </w:rPr>
            </w:pPr>
            <w:r>
              <w:rPr>
                <w:rFonts w:hint="default"/>
                <w:lang w:val="en-US" w:eastAsia="zh-CN"/>
              </w:rPr>
              <w:t>对账管理 - 采购方对账单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183E1D">
            <w:pPr>
              <w:pStyle w:val="42"/>
              <w:bidi w:val="0"/>
              <w:rPr>
                <w:rFonts w:hint="default"/>
              </w:rPr>
            </w:pPr>
            <w:r>
              <w:rPr>
                <w:rFonts w:hint="default"/>
                <w:lang w:val="en-US" w:eastAsia="zh-CN"/>
              </w:rPr>
              <w:t>采购方可按周期或时间生成采购方对账单，金额以采购方上架价订单快照为准。</w:t>
            </w:r>
          </w:p>
        </w:tc>
      </w:tr>
      <w:tr w14:paraId="12D9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E4018">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A9EC">
            <w:pPr>
              <w:pStyle w:val="42"/>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C81B">
            <w:pPr>
              <w:pStyle w:val="42"/>
              <w:bidi w:val="0"/>
              <w:rPr>
                <w:rFonts w:hint="default"/>
              </w:rPr>
            </w:pPr>
            <w:r>
              <w:rPr>
                <w:rFonts w:hint="default"/>
                <w:lang w:val="en-US" w:eastAsia="zh-CN"/>
              </w:rPr>
              <w:t>采购方可确认对账，也可对金额或商品明细发起异议。</w:t>
            </w:r>
          </w:p>
        </w:tc>
      </w:tr>
      <w:tr w14:paraId="73EA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E356793">
            <w:pPr>
              <w:pStyle w:val="42"/>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6E1A6FE">
            <w:pPr>
              <w:pStyle w:val="42"/>
              <w:bidi w:val="0"/>
              <w:rPr>
                <w:rFonts w:hint="default"/>
              </w:rPr>
            </w:pPr>
            <w:r>
              <w:rPr>
                <w:rFonts w:hint="default"/>
                <w:lang w:val="en-US" w:eastAsia="zh-CN"/>
              </w:rPr>
              <w:t>报表中心 - 采购方报表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A12745C">
            <w:pPr>
              <w:pStyle w:val="42"/>
              <w:bidi w:val="0"/>
              <w:rPr>
                <w:rFonts w:hint="default"/>
              </w:rPr>
            </w:pPr>
            <w:r>
              <w:rPr>
                <w:rFonts w:hint="default"/>
                <w:lang w:val="en-US" w:eastAsia="zh-CN"/>
              </w:rPr>
              <w:t>采购方查看本单位编号下的订单金额、商品采购量、收货完成率和历史统计。</w:t>
            </w:r>
          </w:p>
        </w:tc>
      </w:tr>
      <w:tr w14:paraId="27DA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89B">
            <w:pPr>
              <w:pStyle w:val="42"/>
              <w:bidi w:val="0"/>
              <w:rPr>
                <w:rFonts w:hint="default"/>
              </w:rPr>
            </w:pPr>
            <w:r>
              <w:rPr>
                <w:rFonts w:hint="default"/>
                <w:lang w:val="en-US" w:eastAsia="zh-CN"/>
              </w:rPr>
              <w:t>备注：要求提供1年免费维保服务</w:t>
            </w:r>
          </w:p>
        </w:tc>
      </w:tr>
    </w:tbl>
    <w:p w14:paraId="37FB88F1">
      <w:pPr>
        <w:rPr>
          <w:rFonts w:hint="default"/>
          <w:lang w:val="en-US" w:eastAsia="zh-CN"/>
        </w:rPr>
      </w:pPr>
    </w:p>
    <w:p w14:paraId="31AB8A30"/>
    <w:p w14:paraId="2EE62EA9">
      <w:pPr>
        <w:rPr>
          <w:sz w:val="22"/>
        </w:rPr>
      </w:pPr>
    </w:p>
    <w:sectPr>
      <w:pgSz w:w="11907" w:h="16839"/>
      <w:pgMar w:top="1418" w:right="1418" w:bottom="1418" w:left="1418" w:header="765" w:footer="102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CBAA9CD-FA8C-47C2-AE8A-D406DE5C965C}"/>
  </w:font>
  <w:font w:name="黑体">
    <w:panose1 w:val="02010609060101010101"/>
    <w:charset w:val="86"/>
    <w:family w:val="auto"/>
    <w:pitch w:val="default"/>
    <w:sig w:usb0="800002BF" w:usb1="38CF7CFA" w:usb2="00000016" w:usb3="00000000" w:csb0="00040001" w:csb1="00000000"/>
    <w:embedRegular r:id="rId2" w:fontKey="{A963C2E8-9AA0-4C6E-A37F-3AF3F54255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0B45C15-1824-46EB-B51C-BACF7979990E}"/>
  </w:font>
  <w:font w:name="仿宋">
    <w:panose1 w:val="02010609060101010101"/>
    <w:charset w:val="86"/>
    <w:family w:val="auto"/>
    <w:pitch w:val="default"/>
    <w:sig w:usb0="800002BF" w:usb1="38CF7CFA" w:usb2="00000016" w:usb3="00000000" w:csb0="00040001" w:csb1="00000000"/>
    <w:embedRegular r:id="rId4" w:fontKey="{486EB6FF-E052-4B92-B829-D4D32338AA0F}"/>
  </w:font>
  <w:font w:name="Cambria">
    <w:panose1 w:val="02040503050406030204"/>
    <w:charset w:val="00"/>
    <w:family w:val="roman"/>
    <w:pitch w:val="default"/>
    <w:sig w:usb0="E00006FF" w:usb1="420024FF" w:usb2="02000000" w:usb3="00000000" w:csb0="2000019F" w:csb1="00000000"/>
    <w:embedRegular r:id="rId5" w:fontKey="{872451CF-46C3-477D-A334-414F9625EE3D}"/>
  </w:font>
  <w:font w:name="仿宋_GB2312">
    <w:panose1 w:val="02010609030101010101"/>
    <w:charset w:val="86"/>
    <w:family w:val="modern"/>
    <w:pitch w:val="default"/>
    <w:sig w:usb0="00000001" w:usb1="080E0000" w:usb2="00000000" w:usb3="00000000" w:csb0="00040000" w:csb1="00000000"/>
    <w:embedRegular r:id="rId6" w:fontKey="{9463BA5C-7F1C-46E4-A3ED-309E05F0AD4C}"/>
  </w:font>
  <w:font w:name="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7890"/>
    </w:sdtPr>
    <w:sdtContent>
      <w:p w14:paraId="4D1C80B2">
        <w:pPr>
          <w:pStyle w:val="10"/>
          <w:jc w:val="center"/>
        </w:pPr>
        <w:r>
          <w:fldChar w:fldCharType="begin"/>
        </w:r>
        <w:r>
          <w:instrText xml:space="preserve"> PAGE   \* MERGEFORMAT </w:instrText>
        </w:r>
        <w:r>
          <w:fldChar w:fldCharType="separate"/>
        </w:r>
        <w:r>
          <w:rPr>
            <w:lang w:val="zh-CN"/>
          </w:rPr>
          <w:t>13</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56C63">
    <w:pPr>
      <w:jc w:val="center"/>
      <w:rPr>
        <w:lang w:val="zh-CN"/>
      </w:rPr>
    </w:pPr>
  </w:p>
  <w:p w14:paraId="1E4BF44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7876"/>
    </w:sdtPr>
    <w:sdtContent>
      <w:p w14:paraId="4E4E8543">
        <w:pPr>
          <w:pStyle w:val="10"/>
          <w:jc w:val="center"/>
        </w:pPr>
        <w:r>
          <w:fldChar w:fldCharType="begin"/>
        </w:r>
        <w:r>
          <w:instrText xml:space="preserve"> PAGE   \* MERGEFORMAT </w:instrText>
        </w:r>
        <w:r>
          <w:fldChar w:fldCharType="separate"/>
        </w:r>
        <w:r>
          <w:rPr>
            <w:lang w:val="zh-CN"/>
          </w:rPr>
          <w:t>10</w:t>
        </w:r>
        <w:r>
          <w:rPr>
            <w:lang w:val="zh-C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F0340D1">
        <w:pPr>
          <w:pStyle w:val="10"/>
          <w:jc w:val="center"/>
        </w:pPr>
        <w:r>
          <w:fldChar w:fldCharType="begin"/>
        </w:r>
        <w:r>
          <w:instrText xml:space="preserve"> PAGE   \* MERGEFORMAT </w:instrText>
        </w:r>
        <w:r>
          <w:fldChar w:fldCharType="separate"/>
        </w:r>
        <w:r>
          <w:rPr>
            <w:lang w:val="zh-CN"/>
          </w:rPr>
          <w:t>13</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EC49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E8ABB"/>
    <w:multiLevelType w:val="singleLevel"/>
    <w:tmpl w:val="ADBE8ABB"/>
    <w:lvl w:ilvl="0" w:tentative="0">
      <w:start w:val="1"/>
      <w:numFmt w:val="decimal"/>
      <w:lvlText w:val="(%1)"/>
      <w:lvlJc w:val="left"/>
      <w:pPr>
        <w:ind w:left="425" w:hanging="425"/>
      </w:pPr>
      <w:rPr>
        <w:rFonts w:hint="default"/>
      </w:rPr>
    </w:lvl>
  </w:abstractNum>
  <w:abstractNum w:abstractNumId="1">
    <w:nsid w:val="BFFF38B3"/>
    <w:multiLevelType w:val="multilevel"/>
    <w:tmpl w:val="BFFF38B3"/>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章 "/>
      <w:lvlJc w:val="left"/>
      <w:pPr>
        <w:tabs>
          <w:tab w:val="left" w:pos="0"/>
        </w:tabs>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D2FEC6A5"/>
    <w:multiLevelType w:val="singleLevel"/>
    <w:tmpl w:val="D2FEC6A5"/>
    <w:lvl w:ilvl="0" w:tentative="0">
      <w:start w:val="1"/>
      <w:numFmt w:val="decimal"/>
      <w:lvlText w:val="(%1)"/>
      <w:lvlJc w:val="left"/>
      <w:pPr>
        <w:ind w:left="425" w:hanging="425"/>
      </w:pPr>
      <w:rPr>
        <w:rFonts w:hint="default"/>
      </w:rPr>
    </w:lvl>
  </w:abstractNum>
  <w:abstractNum w:abstractNumId="3">
    <w:nsid w:val="DDFD0650"/>
    <w:multiLevelType w:val="multilevel"/>
    <w:tmpl w:val="DDFD0650"/>
    <w:lvl w:ilvl="0" w:tentative="0">
      <w:start w:val="1"/>
      <w:numFmt w:val="chineseCounting"/>
      <w:suff w:val="nothing"/>
      <w:lvlText w:val="第%1卷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DEAA3519"/>
    <w:multiLevelType w:val="singleLevel"/>
    <w:tmpl w:val="DEAA3519"/>
    <w:lvl w:ilvl="0" w:tentative="0">
      <w:start w:val="1"/>
      <w:numFmt w:val="decimal"/>
      <w:lvlText w:val="(%1)"/>
      <w:lvlJc w:val="left"/>
      <w:pPr>
        <w:ind w:left="425" w:hanging="425"/>
      </w:pPr>
      <w:rPr>
        <w:rFonts w:hint="default"/>
      </w:rPr>
    </w:lvl>
  </w:abstractNum>
  <w:abstractNum w:abstractNumId="5">
    <w:nsid w:val="E5FCE877"/>
    <w:multiLevelType w:val="singleLevel"/>
    <w:tmpl w:val="E5FCE877"/>
    <w:lvl w:ilvl="0" w:tentative="0">
      <w:start w:val="1"/>
      <w:numFmt w:val="chineseCounting"/>
      <w:suff w:val="nothing"/>
      <w:lvlText w:val="%1、"/>
      <w:lvlJc w:val="left"/>
      <w:pPr>
        <w:ind w:left="0" w:firstLine="420"/>
      </w:pPr>
      <w:rPr>
        <w:rFonts w:hint="eastAsia"/>
      </w:rPr>
    </w:lvl>
  </w:abstractNum>
  <w:abstractNum w:abstractNumId="6">
    <w:nsid w:val="EF3789EC"/>
    <w:multiLevelType w:val="singleLevel"/>
    <w:tmpl w:val="EF3789EC"/>
    <w:lvl w:ilvl="0" w:tentative="0">
      <w:start w:val="1"/>
      <w:numFmt w:val="decimal"/>
      <w:lvlText w:val="(%1)"/>
      <w:lvlJc w:val="left"/>
      <w:pPr>
        <w:ind w:left="425" w:hanging="425"/>
      </w:pPr>
      <w:rPr>
        <w:rFonts w:hint="default"/>
      </w:rPr>
    </w:lvl>
  </w:abstractNum>
  <w:abstractNum w:abstractNumId="7">
    <w:nsid w:val="EFEE2438"/>
    <w:multiLevelType w:val="singleLevel"/>
    <w:tmpl w:val="EFEE2438"/>
    <w:lvl w:ilvl="0" w:tentative="0">
      <w:start w:val="1"/>
      <w:numFmt w:val="decimal"/>
      <w:lvlText w:val="(%1)"/>
      <w:lvlJc w:val="left"/>
      <w:pPr>
        <w:ind w:left="425" w:hanging="425"/>
      </w:pPr>
      <w:rPr>
        <w:rFonts w:hint="default"/>
      </w:rPr>
    </w:lvl>
  </w:abstractNum>
  <w:abstractNum w:abstractNumId="8">
    <w:nsid w:val="33602AD5"/>
    <w:multiLevelType w:val="multilevel"/>
    <w:tmpl w:val="33602AD5"/>
    <w:lvl w:ilvl="0" w:tentative="0">
      <w:start w:val="1"/>
      <w:numFmt w:val="decimal"/>
      <w:lvlText w:val="%1."/>
      <w:lvlJc w:val="left"/>
      <w:pPr>
        <w:tabs>
          <w:tab w:val="left" w:pos="644"/>
        </w:tabs>
        <w:ind w:left="644" w:hanging="360"/>
      </w:pPr>
      <w:rPr>
        <w:rFonts w:hint="eastAsia"/>
        <w:color w:val="000000" w:themeColor="text1"/>
        <w14:textFill>
          <w14:solidFill>
            <w14:schemeClr w14:val="tx1"/>
          </w14:solidFill>
        </w14:textFill>
      </w:rPr>
    </w:lvl>
    <w:lvl w:ilvl="1" w:tentative="0">
      <w:start w:val="1"/>
      <w:numFmt w:val="lowerLetter"/>
      <w:lvlText w:val="%2)"/>
      <w:lvlJc w:val="left"/>
      <w:pPr>
        <w:tabs>
          <w:tab w:val="left" w:pos="1124"/>
        </w:tabs>
        <w:ind w:left="1124" w:hanging="420"/>
      </w:pPr>
    </w:lvl>
    <w:lvl w:ilvl="2" w:tentative="0">
      <w:start w:val="1"/>
      <w:numFmt w:val="lowerRoman"/>
      <w:lvlText w:val="%3."/>
      <w:lvlJc w:val="right"/>
      <w:pPr>
        <w:tabs>
          <w:tab w:val="left" w:pos="1544"/>
        </w:tabs>
        <w:ind w:left="1544" w:hanging="420"/>
      </w:pPr>
    </w:lvl>
    <w:lvl w:ilvl="3" w:tentative="0">
      <w:start w:val="1"/>
      <w:numFmt w:val="decimal"/>
      <w:lvlText w:val="%4."/>
      <w:lvlJc w:val="left"/>
      <w:pPr>
        <w:tabs>
          <w:tab w:val="left" w:pos="1964"/>
        </w:tabs>
        <w:ind w:left="1964" w:hanging="420"/>
      </w:pPr>
    </w:lvl>
    <w:lvl w:ilvl="4" w:tentative="0">
      <w:start w:val="1"/>
      <w:numFmt w:val="lowerLetter"/>
      <w:lvlText w:val="%5)"/>
      <w:lvlJc w:val="left"/>
      <w:pPr>
        <w:tabs>
          <w:tab w:val="left" w:pos="2384"/>
        </w:tabs>
        <w:ind w:left="2384" w:hanging="420"/>
      </w:pPr>
    </w:lvl>
    <w:lvl w:ilvl="5" w:tentative="0">
      <w:start w:val="1"/>
      <w:numFmt w:val="lowerRoman"/>
      <w:lvlText w:val="%6."/>
      <w:lvlJc w:val="right"/>
      <w:pPr>
        <w:tabs>
          <w:tab w:val="left" w:pos="2804"/>
        </w:tabs>
        <w:ind w:left="2804" w:hanging="420"/>
      </w:pPr>
    </w:lvl>
    <w:lvl w:ilvl="6" w:tentative="0">
      <w:start w:val="1"/>
      <w:numFmt w:val="decimal"/>
      <w:lvlText w:val="%7."/>
      <w:lvlJc w:val="left"/>
      <w:pPr>
        <w:tabs>
          <w:tab w:val="left" w:pos="3224"/>
        </w:tabs>
        <w:ind w:left="3224" w:hanging="420"/>
      </w:pPr>
    </w:lvl>
    <w:lvl w:ilvl="7" w:tentative="0">
      <w:start w:val="1"/>
      <w:numFmt w:val="lowerLetter"/>
      <w:lvlText w:val="%8)"/>
      <w:lvlJc w:val="left"/>
      <w:pPr>
        <w:tabs>
          <w:tab w:val="left" w:pos="3644"/>
        </w:tabs>
        <w:ind w:left="3644" w:hanging="420"/>
      </w:pPr>
    </w:lvl>
    <w:lvl w:ilvl="8" w:tentative="0">
      <w:start w:val="1"/>
      <w:numFmt w:val="lowerRoman"/>
      <w:lvlText w:val="%9."/>
      <w:lvlJc w:val="right"/>
      <w:pPr>
        <w:tabs>
          <w:tab w:val="left" w:pos="4064"/>
        </w:tabs>
        <w:ind w:left="4064" w:hanging="420"/>
      </w:pPr>
    </w:lvl>
  </w:abstractNum>
  <w:abstractNum w:abstractNumId="9">
    <w:nsid w:val="559462A5"/>
    <w:multiLevelType w:val="multilevel"/>
    <w:tmpl w:val="559462A5"/>
    <w:lvl w:ilvl="0" w:tentative="0">
      <w:start w:val="1"/>
      <w:numFmt w:val="chineseCountingThousand"/>
      <w:lvlText w:val="%1、"/>
      <w:lvlJc w:val="left"/>
      <w:pPr>
        <w:tabs>
          <w:tab w:val="left" w:pos="360"/>
        </w:tabs>
        <w:ind w:left="360" w:hanging="360"/>
      </w:pPr>
      <w:rPr>
        <w:color w:val="000000" w:themeColor="text1"/>
        <w14:textFill>
          <w14:solidFill>
            <w14:schemeClr w14:val="tx1"/>
          </w14:solidFill>
        </w14:textFill>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5"/>
  </w:num>
  <w:num w:numId="4">
    <w:abstractNumId w:val="6"/>
  </w:num>
  <w:num w:numId="5">
    <w:abstractNumId w:val="2"/>
  </w:num>
  <w:num w:numId="6">
    <w:abstractNumId w:val="7"/>
  </w:num>
  <w:num w:numId="7">
    <w:abstractNumId w:val="4"/>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OTA3Njk5OTNjMmI1NWM2NjIyOWQ4YzMxMjEwNTEifQ=="/>
  </w:docVars>
  <w:rsids>
    <w:rsidRoot w:val="00F81F59"/>
    <w:rsid w:val="00000634"/>
    <w:rsid w:val="00000B07"/>
    <w:rsid w:val="00003FD8"/>
    <w:rsid w:val="000074DA"/>
    <w:rsid w:val="00013A91"/>
    <w:rsid w:val="00021677"/>
    <w:rsid w:val="00023BC3"/>
    <w:rsid w:val="00024181"/>
    <w:rsid w:val="00040C21"/>
    <w:rsid w:val="000444CE"/>
    <w:rsid w:val="00052CAC"/>
    <w:rsid w:val="00053BE6"/>
    <w:rsid w:val="00054CFA"/>
    <w:rsid w:val="000619B1"/>
    <w:rsid w:val="00074BDB"/>
    <w:rsid w:val="000757C9"/>
    <w:rsid w:val="00077256"/>
    <w:rsid w:val="000847F1"/>
    <w:rsid w:val="000856DF"/>
    <w:rsid w:val="0009149A"/>
    <w:rsid w:val="00093ECF"/>
    <w:rsid w:val="000A541E"/>
    <w:rsid w:val="000B11C8"/>
    <w:rsid w:val="000B11D8"/>
    <w:rsid w:val="000B2DDE"/>
    <w:rsid w:val="000B48E6"/>
    <w:rsid w:val="000B52D9"/>
    <w:rsid w:val="000C1EC1"/>
    <w:rsid w:val="000C21CB"/>
    <w:rsid w:val="000C327E"/>
    <w:rsid w:val="000C77D8"/>
    <w:rsid w:val="000C7D3A"/>
    <w:rsid w:val="000D3A14"/>
    <w:rsid w:val="000D5532"/>
    <w:rsid w:val="000E12B8"/>
    <w:rsid w:val="000E26F5"/>
    <w:rsid w:val="000E2CA4"/>
    <w:rsid w:val="000E3CFF"/>
    <w:rsid w:val="000F5407"/>
    <w:rsid w:val="00101F77"/>
    <w:rsid w:val="00112D75"/>
    <w:rsid w:val="00132B33"/>
    <w:rsid w:val="00136230"/>
    <w:rsid w:val="00136415"/>
    <w:rsid w:val="0014374A"/>
    <w:rsid w:val="00144B3F"/>
    <w:rsid w:val="0014613C"/>
    <w:rsid w:val="00152C13"/>
    <w:rsid w:val="00161022"/>
    <w:rsid w:val="00163964"/>
    <w:rsid w:val="001714FE"/>
    <w:rsid w:val="00171B13"/>
    <w:rsid w:val="001724D0"/>
    <w:rsid w:val="00177547"/>
    <w:rsid w:val="0018338E"/>
    <w:rsid w:val="001A18E3"/>
    <w:rsid w:val="001A1D5A"/>
    <w:rsid w:val="001B51C4"/>
    <w:rsid w:val="001B70BE"/>
    <w:rsid w:val="001C2503"/>
    <w:rsid w:val="001C512F"/>
    <w:rsid w:val="001E50CD"/>
    <w:rsid w:val="001E77FB"/>
    <w:rsid w:val="001F1D9B"/>
    <w:rsid w:val="00203E2D"/>
    <w:rsid w:val="00205B99"/>
    <w:rsid w:val="002113E3"/>
    <w:rsid w:val="00217E70"/>
    <w:rsid w:val="002228B9"/>
    <w:rsid w:val="0022575A"/>
    <w:rsid w:val="0023000E"/>
    <w:rsid w:val="00230FF6"/>
    <w:rsid w:val="0023264F"/>
    <w:rsid w:val="002326B7"/>
    <w:rsid w:val="00232F25"/>
    <w:rsid w:val="002407D7"/>
    <w:rsid w:val="00241799"/>
    <w:rsid w:val="00242B17"/>
    <w:rsid w:val="0025235B"/>
    <w:rsid w:val="00261CBE"/>
    <w:rsid w:val="002726A3"/>
    <w:rsid w:val="00272AAC"/>
    <w:rsid w:val="00277993"/>
    <w:rsid w:val="0028133F"/>
    <w:rsid w:val="00286F47"/>
    <w:rsid w:val="00287421"/>
    <w:rsid w:val="0029063D"/>
    <w:rsid w:val="002941E8"/>
    <w:rsid w:val="00294209"/>
    <w:rsid w:val="00295424"/>
    <w:rsid w:val="002973BE"/>
    <w:rsid w:val="002A0573"/>
    <w:rsid w:val="002A1342"/>
    <w:rsid w:val="002A3967"/>
    <w:rsid w:val="002B608E"/>
    <w:rsid w:val="002C6AF3"/>
    <w:rsid w:val="002D57F7"/>
    <w:rsid w:val="002D7D88"/>
    <w:rsid w:val="002E5BDD"/>
    <w:rsid w:val="002F1B3C"/>
    <w:rsid w:val="002F4774"/>
    <w:rsid w:val="00302001"/>
    <w:rsid w:val="00307702"/>
    <w:rsid w:val="00321F9C"/>
    <w:rsid w:val="00322703"/>
    <w:rsid w:val="003234A6"/>
    <w:rsid w:val="00330BC4"/>
    <w:rsid w:val="00330DC0"/>
    <w:rsid w:val="003319EA"/>
    <w:rsid w:val="00337197"/>
    <w:rsid w:val="003413D0"/>
    <w:rsid w:val="003431DD"/>
    <w:rsid w:val="003438F4"/>
    <w:rsid w:val="00354BFB"/>
    <w:rsid w:val="00361D38"/>
    <w:rsid w:val="00362661"/>
    <w:rsid w:val="00366D42"/>
    <w:rsid w:val="00384886"/>
    <w:rsid w:val="00386895"/>
    <w:rsid w:val="003928D2"/>
    <w:rsid w:val="0039554B"/>
    <w:rsid w:val="003A1BD7"/>
    <w:rsid w:val="003A292D"/>
    <w:rsid w:val="003A517B"/>
    <w:rsid w:val="003A5952"/>
    <w:rsid w:val="003B076D"/>
    <w:rsid w:val="003C2434"/>
    <w:rsid w:val="003C517A"/>
    <w:rsid w:val="003D0630"/>
    <w:rsid w:val="003D4F2E"/>
    <w:rsid w:val="003E01E4"/>
    <w:rsid w:val="003E31CE"/>
    <w:rsid w:val="003E4BE4"/>
    <w:rsid w:val="003E5FC2"/>
    <w:rsid w:val="003F39C9"/>
    <w:rsid w:val="0040123A"/>
    <w:rsid w:val="0041112D"/>
    <w:rsid w:val="00421E2E"/>
    <w:rsid w:val="004220D3"/>
    <w:rsid w:val="004228F2"/>
    <w:rsid w:val="0042673B"/>
    <w:rsid w:val="0042781B"/>
    <w:rsid w:val="004403C0"/>
    <w:rsid w:val="00441BDF"/>
    <w:rsid w:val="004432F0"/>
    <w:rsid w:val="004437EA"/>
    <w:rsid w:val="00447865"/>
    <w:rsid w:val="00447AC5"/>
    <w:rsid w:val="00450164"/>
    <w:rsid w:val="00451075"/>
    <w:rsid w:val="00454D43"/>
    <w:rsid w:val="00456615"/>
    <w:rsid w:val="00466C6D"/>
    <w:rsid w:val="004679F1"/>
    <w:rsid w:val="00470F4B"/>
    <w:rsid w:val="00472AAE"/>
    <w:rsid w:val="00473154"/>
    <w:rsid w:val="00476E96"/>
    <w:rsid w:val="00486605"/>
    <w:rsid w:val="004930D4"/>
    <w:rsid w:val="004948DE"/>
    <w:rsid w:val="004A02A6"/>
    <w:rsid w:val="004A0415"/>
    <w:rsid w:val="004B2523"/>
    <w:rsid w:val="004B73D7"/>
    <w:rsid w:val="004C331E"/>
    <w:rsid w:val="004C5774"/>
    <w:rsid w:val="004D2EA4"/>
    <w:rsid w:val="004D7726"/>
    <w:rsid w:val="004E1CF6"/>
    <w:rsid w:val="004F15EE"/>
    <w:rsid w:val="004F6505"/>
    <w:rsid w:val="004F7F7B"/>
    <w:rsid w:val="0050753C"/>
    <w:rsid w:val="00511DB5"/>
    <w:rsid w:val="005132EE"/>
    <w:rsid w:val="0051489A"/>
    <w:rsid w:val="005275FF"/>
    <w:rsid w:val="00541EFC"/>
    <w:rsid w:val="005448C3"/>
    <w:rsid w:val="005570E6"/>
    <w:rsid w:val="00557D2A"/>
    <w:rsid w:val="00564A6D"/>
    <w:rsid w:val="00567906"/>
    <w:rsid w:val="0057496F"/>
    <w:rsid w:val="005833D5"/>
    <w:rsid w:val="005848A5"/>
    <w:rsid w:val="00590016"/>
    <w:rsid w:val="005A2351"/>
    <w:rsid w:val="005A525B"/>
    <w:rsid w:val="005B10AA"/>
    <w:rsid w:val="005B524E"/>
    <w:rsid w:val="005B699B"/>
    <w:rsid w:val="005C087D"/>
    <w:rsid w:val="005C1BA1"/>
    <w:rsid w:val="005C2DC9"/>
    <w:rsid w:val="005C3DB0"/>
    <w:rsid w:val="005C7ADF"/>
    <w:rsid w:val="005E0E23"/>
    <w:rsid w:val="005E2496"/>
    <w:rsid w:val="005F04E6"/>
    <w:rsid w:val="005F4F3D"/>
    <w:rsid w:val="00600319"/>
    <w:rsid w:val="006119E8"/>
    <w:rsid w:val="00613748"/>
    <w:rsid w:val="00613B1E"/>
    <w:rsid w:val="00632775"/>
    <w:rsid w:val="00636A01"/>
    <w:rsid w:val="006377BD"/>
    <w:rsid w:val="006429B3"/>
    <w:rsid w:val="0064560A"/>
    <w:rsid w:val="00663633"/>
    <w:rsid w:val="00664626"/>
    <w:rsid w:val="00667ED0"/>
    <w:rsid w:val="006744FC"/>
    <w:rsid w:val="00676516"/>
    <w:rsid w:val="00676EFA"/>
    <w:rsid w:val="00682461"/>
    <w:rsid w:val="00682E9D"/>
    <w:rsid w:val="00686239"/>
    <w:rsid w:val="0068781F"/>
    <w:rsid w:val="00690504"/>
    <w:rsid w:val="00693363"/>
    <w:rsid w:val="006A5927"/>
    <w:rsid w:val="006C43AF"/>
    <w:rsid w:val="006D3529"/>
    <w:rsid w:val="006D75B5"/>
    <w:rsid w:val="006E103B"/>
    <w:rsid w:val="006E666C"/>
    <w:rsid w:val="006E7302"/>
    <w:rsid w:val="006F45CE"/>
    <w:rsid w:val="00705F9F"/>
    <w:rsid w:val="007132D8"/>
    <w:rsid w:val="00724EEA"/>
    <w:rsid w:val="00725E61"/>
    <w:rsid w:val="00726B48"/>
    <w:rsid w:val="0073012F"/>
    <w:rsid w:val="00735059"/>
    <w:rsid w:val="00735C01"/>
    <w:rsid w:val="00741841"/>
    <w:rsid w:val="0074242B"/>
    <w:rsid w:val="00742EA7"/>
    <w:rsid w:val="007516F4"/>
    <w:rsid w:val="00757778"/>
    <w:rsid w:val="007604AE"/>
    <w:rsid w:val="00775D44"/>
    <w:rsid w:val="0078013A"/>
    <w:rsid w:val="007915F7"/>
    <w:rsid w:val="007A74E8"/>
    <w:rsid w:val="007B58A1"/>
    <w:rsid w:val="007C7455"/>
    <w:rsid w:val="007C7A00"/>
    <w:rsid w:val="007D0096"/>
    <w:rsid w:val="007D48C3"/>
    <w:rsid w:val="007F2A12"/>
    <w:rsid w:val="007F6302"/>
    <w:rsid w:val="00800B1D"/>
    <w:rsid w:val="00805BAD"/>
    <w:rsid w:val="00823016"/>
    <w:rsid w:val="00836DE8"/>
    <w:rsid w:val="008414B9"/>
    <w:rsid w:val="008423B9"/>
    <w:rsid w:val="008436BC"/>
    <w:rsid w:val="00846105"/>
    <w:rsid w:val="00856083"/>
    <w:rsid w:val="008738DB"/>
    <w:rsid w:val="008779B5"/>
    <w:rsid w:val="008810D2"/>
    <w:rsid w:val="0089376D"/>
    <w:rsid w:val="0089534F"/>
    <w:rsid w:val="0089719F"/>
    <w:rsid w:val="008A02A2"/>
    <w:rsid w:val="008A7B47"/>
    <w:rsid w:val="008B7AE1"/>
    <w:rsid w:val="008C0B66"/>
    <w:rsid w:val="008C2A3A"/>
    <w:rsid w:val="008D2906"/>
    <w:rsid w:val="008D4E79"/>
    <w:rsid w:val="008F09A4"/>
    <w:rsid w:val="008F4CE4"/>
    <w:rsid w:val="00900AEB"/>
    <w:rsid w:val="00906296"/>
    <w:rsid w:val="009062DA"/>
    <w:rsid w:val="00922030"/>
    <w:rsid w:val="00926234"/>
    <w:rsid w:val="009314A6"/>
    <w:rsid w:val="009442CB"/>
    <w:rsid w:val="00961BE5"/>
    <w:rsid w:val="00974A36"/>
    <w:rsid w:val="00981E8C"/>
    <w:rsid w:val="00982787"/>
    <w:rsid w:val="0098467F"/>
    <w:rsid w:val="00995F56"/>
    <w:rsid w:val="009964D6"/>
    <w:rsid w:val="00997BB0"/>
    <w:rsid w:val="009A2944"/>
    <w:rsid w:val="009A4363"/>
    <w:rsid w:val="009B1167"/>
    <w:rsid w:val="009B3A5B"/>
    <w:rsid w:val="009B555D"/>
    <w:rsid w:val="009C02B4"/>
    <w:rsid w:val="009C29A6"/>
    <w:rsid w:val="009C319F"/>
    <w:rsid w:val="009C4D7A"/>
    <w:rsid w:val="009D20F5"/>
    <w:rsid w:val="009D28E7"/>
    <w:rsid w:val="009D2AB3"/>
    <w:rsid w:val="009F3C66"/>
    <w:rsid w:val="009F5C70"/>
    <w:rsid w:val="00A10802"/>
    <w:rsid w:val="00A11BA1"/>
    <w:rsid w:val="00A172A4"/>
    <w:rsid w:val="00A25B58"/>
    <w:rsid w:val="00A25F4C"/>
    <w:rsid w:val="00A45A3E"/>
    <w:rsid w:val="00A525B3"/>
    <w:rsid w:val="00A56AAD"/>
    <w:rsid w:val="00A601C5"/>
    <w:rsid w:val="00A6472D"/>
    <w:rsid w:val="00A64E25"/>
    <w:rsid w:val="00A71A04"/>
    <w:rsid w:val="00A763B7"/>
    <w:rsid w:val="00A82BE6"/>
    <w:rsid w:val="00AA30B8"/>
    <w:rsid w:val="00AA3DDE"/>
    <w:rsid w:val="00AA5521"/>
    <w:rsid w:val="00AA792B"/>
    <w:rsid w:val="00AB0421"/>
    <w:rsid w:val="00AB6DA7"/>
    <w:rsid w:val="00AC07BE"/>
    <w:rsid w:val="00AC4C01"/>
    <w:rsid w:val="00AC50D4"/>
    <w:rsid w:val="00AD0A46"/>
    <w:rsid w:val="00AD1DEE"/>
    <w:rsid w:val="00AD3320"/>
    <w:rsid w:val="00AD3835"/>
    <w:rsid w:val="00AE5DE3"/>
    <w:rsid w:val="00AE5F0F"/>
    <w:rsid w:val="00AF05BB"/>
    <w:rsid w:val="00AF087C"/>
    <w:rsid w:val="00AF0C26"/>
    <w:rsid w:val="00B04A2E"/>
    <w:rsid w:val="00B07EEE"/>
    <w:rsid w:val="00B16D03"/>
    <w:rsid w:val="00B23325"/>
    <w:rsid w:val="00B2462F"/>
    <w:rsid w:val="00B26316"/>
    <w:rsid w:val="00B300AD"/>
    <w:rsid w:val="00B3446A"/>
    <w:rsid w:val="00B3473F"/>
    <w:rsid w:val="00B36C50"/>
    <w:rsid w:val="00B41A67"/>
    <w:rsid w:val="00B439CC"/>
    <w:rsid w:val="00B52B6A"/>
    <w:rsid w:val="00B5602D"/>
    <w:rsid w:val="00B62381"/>
    <w:rsid w:val="00B627FE"/>
    <w:rsid w:val="00B7036A"/>
    <w:rsid w:val="00B71646"/>
    <w:rsid w:val="00B758A7"/>
    <w:rsid w:val="00B774CB"/>
    <w:rsid w:val="00B80A10"/>
    <w:rsid w:val="00B84575"/>
    <w:rsid w:val="00B84B49"/>
    <w:rsid w:val="00B96199"/>
    <w:rsid w:val="00B97465"/>
    <w:rsid w:val="00BA0C55"/>
    <w:rsid w:val="00BA2EA3"/>
    <w:rsid w:val="00BB06AA"/>
    <w:rsid w:val="00BB31E1"/>
    <w:rsid w:val="00BC2079"/>
    <w:rsid w:val="00BC5FDF"/>
    <w:rsid w:val="00BD356F"/>
    <w:rsid w:val="00BD4C80"/>
    <w:rsid w:val="00BF08D5"/>
    <w:rsid w:val="00BF73EE"/>
    <w:rsid w:val="00C01EA8"/>
    <w:rsid w:val="00C033C1"/>
    <w:rsid w:val="00C04971"/>
    <w:rsid w:val="00C10405"/>
    <w:rsid w:val="00C1560F"/>
    <w:rsid w:val="00C33564"/>
    <w:rsid w:val="00C34787"/>
    <w:rsid w:val="00C34825"/>
    <w:rsid w:val="00C37C6C"/>
    <w:rsid w:val="00C44DAE"/>
    <w:rsid w:val="00C44F5A"/>
    <w:rsid w:val="00C528BA"/>
    <w:rsid w:val="00C5301C"/>
    <w:rsid w:val="00C569C3"/>
    <w:rsid w:val="00C65147"/>
    <w:rsid w:val="00C67E37"/>
    <w:rsid w:val="00C725C2"/>
    <w:rsid w:val="00C7691C"/>
    <w:rsid w:val="00C906F1"/>
    <w:rsid w:val="00C923C7"/>
    <w:rsid w:val="00CB0221"/>
    <w:rsid w:val="00CB0B36"/>
    <w:rsid w:val="00CB4636"/>
    <w:rsid w:val="00CB4ED4"/>
    <w:rsid w:val="00CB76D2"/>
    <w:rsid w:val="00CC0529"/>
    <w:rsid w:val="00CC0A5B"/>
    <w:rsid w:val="00CC6F71"/>
    <w:rsid w:val="00CD0725"/>
    <w:rsid w:val="00CE05FE"/>
    <w:rsid w:val="00CE7B30"/>
    <w:rsid w:val="00D10B69"/>
    <w:rsid w:val="00D14DA6"/>
    <w:rsid w:val="00D15FA6"/>
    <w:rsid w:val="00D22F00"/>
    <w:rsid w:val="00D23E87"/>
    <w:rsid w:val="00D26686"/>
    <w:rsid w:val="00D26791"/>
    <w:rsid w:val="00D33321"/>
    <w:rsid w:val="00D54930"/>
    <w:rsid w:val="00D563C1"/>
    <w:rsid w:val="00D8272B"/>
    <w:rsid w:val="00D84553"/>
    <w:rsid w:val="00D86027"/>
    <w:rsid w:val="00D91397"/>
    <w:rsid w:val="00D9613E"/>
    <w:rsid w:val="00DB22B6"/>
    <w:rsid w:val="00DB691B"/>
    <w:rsid w:val="00DC0492"/>
    <w:rsid w:val="00DC4C4A"/>
    <w:rsid w:val="00DC6C26"/>
    <w:rsid w:val="00DE5040"/>
    <w:rsid w:val="00DE725C"/>
    <w:rsid w:val="00DF7940"/>
    <w:rsid w:val="00E1276A"/>
    <w:rsid w:val="00E129DE"/>
    <w:rsid w:val="00E1377E"/>
    <w:rsid w:val="00E22B7D"/>
    <w:rsid w:val="00E5616C"/>
    <w:rsid w:val="00E6259A"/>
    <w:rsid w:val="00E64E12"/>
    <w:rsid w:val="00E7480E"/>
    <w:rsid w:val="00E74C2B"/>
    <w:rsid w:val="00E75CF3"/>
    <w:rsid w:val="00E80273"/>
    <w:rsid w:val="00E827BE"/>
    <w:rsid w:val="00E87405"/>
    <w:rsid w:val="00E90719"/>
    <w:rsid w:val="00E92493"/>
    <w:rsid w:val="00E94DF1"/>
    <w:rsid w:val="00EB1695"/>
    <w:rsid w:val="00EB4D16"/>
    <w:rsid w:val="00EB613F"/>
    <w:rsid w:val="00EC46AA"/>
    <w:rsid w:val="00ED07B4"/>
    <w:rsid w:val="00ED1AF7"/>
    <w:rsid w:val="00ED22CA"/>
    <w:rsid w:val="00ED43B0"/>
    <w:rsid w:val="00EE199C"/>
    <w:rsid w:val="00EE45AC"/>
    <w:rsid w:val="00EE73C3"/>
    <w:rsid w:val="00EF1DBA"/>
    <w:rsid w:val="00EF481B"/>
    <w:rsid w:val="00EF689B"/>
    <w:rsid w:val="00F0345C"/>
    <w:rsid w:val="00F04C23"/>
    <w:rsid w:val="00F13AC4"/>
    <w:rsid w:val="00F14605"/>
    <w:rsid w:val="00F14BD1"/>
    <w:rsid w:val="00F2653E"/>
    <w:rsid w:val="00F33431"/>
    <w:rsid w:val="00F372D1"/>
    <w:rsid w:val="00F53440"/>
    <w:rsid w:val="00F56370"/>
    <w:rsid w:val="00F61F61"/>
    <w:rsid w:val="00F75839"/>
    <w:rsid w:val="00F77B66"/>
    <w:rsid w:val="00F81F59"/>
    <w:rsid w:val="00F83CFC"/>
    <w:rsid w:val="00F90B5B"/>
    <w:rsid w:val="00F90DA7"/>
    <w:rsid w:val="00F920F5"/>
    <w:rsid w:val="00F9430D"/>
    <w:rsid w:val="00FA1B90"/>
    <w:rsid w:val="00FA56DC"/>
    <w:rsid w:val="00FA6E52"/>
    <w:rsid w:val="00FD0ED6"/>
    <w:rsid w:val="00FD2E18"/>
    <w:rsid w:val="00FD6659"/>
    <w:rsid w:val="00FD74E7"/>
    <w:rsid w:val="00FE68C0"/>
    <w:rsid w:val="00FF2D10"/>
    <w:rsid w:val="00FF4CC1"/>
    <w:rsid w:val="00FF6482"/>
    <w:rsid w:val="035F06DF"/>
    <w:rsid w:val="03DB494B"/>
    <w:rsid w:val="04166409"/>
    <w:rsid w:val="05CC64B2"/>
    <w:rsid w:val="089A3BC0"/>
    <w:rsid w:val="0D7E1EBD"/>
    <w:rsid w:val="103A4EAF"/>
    <w:rsid w:val="110B648E"/>
    <w:rsid w:val="120F375F"/>
    <w:rsid w:val="13FD1F0A"/>
    <w:rsid w:val="14250262"/>
    <w:rsid w:val="1448647D"/>
    <w:rsid w:val="168E3310"/>
    <w:rsid w:val="178C5E11"/>
    <w:rsid w:val="1A454B7C"/>
    <w:rsid w:val="1B056C7E"/>
    <w:rsid w:val="1B961DE3"/>
    <w:rsid w:val="1DC40A4A"/>
    <w:rsid w:val="1F60102E"/>
    <w:rsid w:val="22965A08"/>
    <w:rsid w:val="23225D32"/>
    <w:rsid w:val="24C10D07"/>
    <w:rsid w:val="26AA03B2"/>
    <w:rsid w:val="282B32E7"/>
    <w:rsid w:val="293F6626"/>
    <w:rsid w:val="2A954953"/>
    <w:rsid w:val="2BB7684B"/>
    <w:rsid w:val="2C2371B3"/>
    <w:rsid w:val="2E9F2106"/>
    <w:rsid w:val="2FDD29E4"/>
    <w:rsid w:val="305223DF"/>
    <w:rsid w:val="32CF016A"/>
    <w:rsid w:val="349F2065"/>
    <w:rsid w:val="351270D8"/>
    <w:rsid w:val="369B68D3"/>
    <w:rsid w:val="36CD70ED"/>
    <w:rsid w:val="3BA45ACB"/>
    <w:rsid w:val="3BBF5492"/>
    <w:rsid w:val="40CE070F"/>
    <w:rsid w:val="40EF6C48"/>
    <w:rsid w:val="43B46782"/>
    <w:rsid w:val="44897B82"/>
    <w:rsid w:val="45BA6348"/>
    <w:rsid w:val="47B21C0D"/>
    <w:rsid w:val="48703F84"/>
    <w:rsid w:val="4876768F"/>
    <w:rsid w:val="498E2AE4"/>
    <w:rsid w:val="49B56FF6"/>
    <w:rsid w:val="4BEE70E7"/>
    <w:rsid w:val="4E293B2A"/>
    <w:rsid w:val="4E7F2C95"/>
    <w:rsid w:val="510367D8"/>
    <w:rsid w:val="52BBA494"/>
    <w:rsid w:val="5483555B"/>
    <w:rsid w:val="595F5CB0"/>
    <w:rsid w:val="5A597BF9"/>
    <w:rsid w:val="5FE774F3"/>
    <w:rsid w:val="60507847"/>
    <w:rsid w:val="638735E6"/>
    <w:rsid w:val="64753936"/>
    <w:rsid w:val="65A553BC"/>
    <w:rsid w:val="673770CC"/>
    <w:rsid w:val="69DA4B1E"/>
    <w:rsid w:val="6B38082C"/>
    <w:rsid w:val="6BAF4C1E"/>
    <w:rsid w:val="6E9C3A85"/>
    <w:rsid w:val="6ED728C3"/>
    <w:rsid w:val="707C1219"/>
    <w:rsid w:val="71572DAF"/>
    <w:rsid w:val="72B64E3B"/>
    <w:rsid w:val="72F25B0F"/>
    <w:rsid w:val="742575F7"/>
    <w:rsid w:val="74406FEF"/>
    <w:rsid w:val="75917F6F"/>
    <w:rsid w:val="7B051D9F"/>
    <w:rsid w:val="7B431FA9"/>
    <w:rsid w:val="7B554887"/>
    <w:rsid w:val="7DBA4DEA"/>
    <w:rsid w:val="7F533C14"/>
    <w:rsid w:val="9EFBA928"/>
    <w:rsid w:val="BF6FB100"/>
    <w:rsid w:val="CB6CB74F"/>
    <w:rsid w:val="EF9BC021"/>
    <w:rsid w:val="F1B90A5D"/>
    <w:rsid w:val="F6EDD13C"/>
    <w:rsid w:val="FAFDD195"/>
    <w:rsid w:val="FB96A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after="50" w:afterLines="50" w:line="560" w:lineRule="exact"/>
      <w:ind w:firstLine="560" w:firstLineChars="200"/>
      <w:jc w:val="both"/>
    </w:pPr>
    <w:rPr>
      <w:rFonts w:ascii="Times New Roman" w:hAnsi="Times New Roman" w:eastAsia="仿宋" w:cs="Times New Roman"/>
      <w:kern w:val="2"/>
      <w:sz w:val="28"/>
      <w:szCs w:val="24"/>
      <w:lang w:val="en-US" w:eastAsia="zh-CN" w:bidi="ar-SA"/>
    </w:rPr>
  </w:style>
  <w:style w:type="paragraph" w:styleId="2">
    <w:name w:val="heading 1"/>
    <w:basedOn w:val="1"/>
    <w:next w:val="1"/>
    <w:link w:val="22"/>
    <w:qFormat/>
    <w:uiPriority w:val="9"/>
    <w:pPr>
      <w:keepNext/>
      <w:keepLines/>
      <w:spacing w:before="340" w:after="330" w:line="360" w:lineRule="auto"/>
      <w:ind w:firstLine="0" w:firstLineChars="0"/>
      <w:jc w:val="center"/>
      <w:outlineLvl w:val="0"/>
    </w:pPr>
    <w:rPr>
      <w:b/>
      <w:bCs/>
      <w:kern w:val="44"/>
      <w:sz w:val="44"/>
      <w:szCs w:val="44"/>
    </w:rPr>
  </w:style>
  <w:style w:type="paragraph" w:styleId="3">
    <w:name w:val="heading 2"/>
    <w:basedOn w:val="1"/>
    <w:next w:val="1"/>
    <w:link w:val="24"/>
    <w:qFormat/>
    <w:uiPriority w:val="0"/>
    <w:pPr>
      <w:keepNext/>
      <w:widowControl/>
      <w:spacing w:line="480" w:lineRule="auto"/>
      <w:ind w:firstLine="0" w:firstLineChars="0"/>
      <w:jc w:val="center"/>
      <w:outlineLvl w:val="1"/>
    </w:pPr>
    <w:rPr>
      <w:b/>
      <w:bCs/>
      <w:spacing w:val="20"/>
      <w:sz w:val="32"/>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2"/>
    <w:semiHidden/>
    <w:unhideWhenUsed/>
    <w:qFormat/>
    <w:uiPriority w:val="99"/>
    <w:rPr>
      <w:rFonts w:ascii="宋体"/>
      <w:sz w:val="18"/>
      <w:szCs w:val="18"/>
    </w:rPr>
  </w:style>
  <w:style w:type="paragraph" w:styleId="5">
    <w:name w:val="annotation text"/>
    <w:basedOn w:val="1"/>
    <w:link w:val="36"/>
    <w:unhideWhenUsed/>
    <w:qFormat/>
    <w:uiPriority w:val="99"/>
    <w:pPr>
      <w:jc w:val="left"/>
    </w:pPr>
  </w:style>
  <w:style w:type="paragraph" w:styleId="6">
    <w:name w:val="toc 3"/>
    <w:basedOn w:val="1"/>
    <w:next w:val="1"/>
    <w:unhideWhenUsed/>
    <w:qFormat/>
    <w:uiPriority w:val="39"/>
    <w:pPr>
      <w:ind w:left="840" w:leftChars="400"/>
    </w:pPr>
  </w:style>
  <w:style w:type="paragraph" w:styleId="7">
    <w:name w:val="Plain Text"/>
    <w:basedOn w:val="1"/>
    <w:link w:val="23"/>
    <w:qFormat/>
    <w:uiPriority w:val="0"/>
    <w:pPr>
      <w:autoSpaceDE w:val="0"/>
      <w:autoSpaceDN w:val="0"/>
      <w:adjustRightInd w:val="0"/>
    </w:pPr>
    <w:rPr>
      <w:rFonts w:ascii="宋体" w:hAnsiTheme="minorHAnsi" w:cstheme="minorBidi"/>
      <w:szCs w:val="22"/>
    </w:rPr>
  </w:style>
  <w:style w:type="paragraph" w:styleId="8">
    <w:name w:val="Date"/>
    <w:basedOn w:val="1"/>
    <w:next w:val="1"/>
    <w:link w:val="41"/>
    <w:semiHidden/>
    <w:unhideWhenUsed/>
    <w:qFormat/>
    <w:uiPriority w:val="99"/>
    <w:pPr>
      <w:ind w:left="100" w:leftChars="2500"/>
    </w:pPr>
  </w:style>
  <w:style w:type="paragraph" w:styleId="9">
    <w:name w:val="Balloon Text"/>
    <w:basedOn w:val="1"/>
    <w:link w:val="31"/>
    <w:semiHidden/>
    <w:unhideWhenUsed/>
    <w:qFormat/>
    <w:uiPriority w:val="99"/>
    <w:rPr>
      <w:sz w:val="18"/>
      <w:szCs w:val="18"/>
    </w:rPr>
  </w:style>
  <w:style w:type="paragraph" w:styleId="10">
    <w:name w:val="footer"/>
    <w:basedOn w:val="1"/>
    <w:link w:val="26"/>
    <w:unhideWhenUsed/>
    <w:qFormat/>
    <w:uiPriority w:val="99"/>
    <w:pPr>
      <w:tabs>
        <w:tab w:val="center" w:pos="4153"/>
        <w:tab w:val="right" w:pos="8306"/>
      </w:tabs>
      <w:snapToGrid w:val="0"/>
      <w:jc w:val="left"/>
    </w:pPr>
    <w:rPr>
      <w:sz w:val="18"/>
      <w:szCs w:val="18"/>
    </w:rPr>
  </w:style>
  <w:style w:type="paragraph" w:styleId="11">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left" w:pos="730"/>
        <w:tab w:val="right" w:leader="dot" w:pos="8296"/>
      </w:tabs>
      <w:spacing w:after="100" w:line="276" w:lineRule="auto"/>
      <w:jc w:val="left"/>
    </w:pPr>
    <w:rPr>
      <w:rFonts w:asciiTheme="minorHAnsi" w:hAnsiTheme="minorHAnsi" w:eastAsiaTheme="minorEastAsia" w:cstheme="minorBidi"/>
      <w:kern w:val="0"/>
      <w:sz w:val="22"/>
      <w:szCs w:val="22"/>
    </w:rPr>
  </w:style>
  <w:style w:type="paragraph" w:styleId="1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4">
    <w:name w:val="Normal (Web)"/>
    <w:basedOn w:val="1"/>
    <w:qFormat/>
    <w:uiPriority w:val="0"/>
    <w:pPr>
      <w:widowControl/>
      <w:spacing w:before="100" w:beforeAutospacing="1" w:after="100" w:afterAutospacing="1"/>
      <w:jc w:val="left"/>
    </w:pPr>
    <w:rPr>
      <w:rFonts w:hint="eastAsia" w:ascii="宋体" w:hAnsi="宋体"/>
      <w:kern w:val="0"/>
      <w:sz w:val="24"/>
      <w:szCs w:val="21"/>
    </w:rPr>
  </w:style>
  <w:style w:type="paragraph" w:styleId="15">
    <w:name w:val="Title"/>
    <w:basedOn w:val="1"/>
    <w:next w:val="1"/>
    <w:link w:val="39"/>
    <w:qFormat/>
    <w:uiPriority w:val="0"/>
    <w:pPr>
      <w:spacing w:before="240" w:after="60"/>
      <w:jc w:val="center"/>
      <w:outlineLvl w:val="0"/>
    </w:pPr>
    <w:rPr>
      <w:rFonts w:ascii="Cambria" w:hAnsi="Cambria"/>
      <w:b/>
      <w:bCs/>
      <w:sz w:val="30"/>
      <w:szCs w:val="32"/>
    </w:rPr>
  </w:style>
  <w:style w:type="paragraph" w:styleId="16">
    <w:name w:val="annotation subject"/>
    <w:basedOn w:val="5"/>
    <w:next w:val="5"/>
    <w:link w:val="37"/>
    <w:semiHidden/>
    <w:unhideWhenUsed/>
    <w:qFormat/>
    <w:uiPriority w:val="99"/>
    <w:rPr>
      <w:b/>
      <w:bCs/>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标题 1 字符"/>
    <w:basedOn w:val="19"/>
    <w:link w:val="2"/>
    <w:qFormat/>
    <w:uiPriority w:val="0"/>
    <w:rPr>
      <w:rFonts w:ascii="Times New Roman" w:hAnsi="Times New Roman" w:eastAsia="仿宋" w:cs="Times New Roman"/>
      <w:b/>
      <w:bCs/>
      <w:kern w:val="44"/>
      <w:sz w:val="44"/>
      <w:szCs w:val="44"/>
    </w:rPr>
  </w:style>
  <w:style w:type="character" w:customStyle="1" w:styleId="23">
    <w:name w:val="纯文本 字符"/>
    <w:link w:val="7"/>
    <w:qFormat/>
    <w:locked/>
    <w:uiPriority w:val="0"/>
    <w:rPr>
      <w:rFonts w:ascii="宋体" w:eastAsia="宋体"/>
    </w:rPr>
  </w:style>
  <w:style w:type="character" w:customStyle="1" w:styleId="24">
    <w:name w:val="标题 2 字符"/>
    <w:basedOn w:val="19"/>
    <w:link w:val="3"/>
    <w:qFormat/>
    <w:uiPriority w:val="0"/>
    <w:rPr>
      <w:rFonts w:ascii="Times New Roman" w:hAnsi="Times New Roman" w:eastAsia="仿宋" w:cs="Times New Roman"/>
      <w:b/>
      <w:bCs/>
      <w:spacing w:val="20"/>
      <w:sz w:val="32"/>
      <w:szCs w:val="24"/>
    </w:rPr>
  </w:style>
  <w:style w:type="character" w:customStyle="1" w:styleId="25">
    <w:name w:val="页眉 字符"/>
    <w:basedOn w:val="19"/>
    <w:link w:val="11"/>
    <w:qFormat/>
    <w:uiPriority w:val="99"/>
    <w:rPr>
      <w:sz w:val="18"/>
      <w:szCs w:val="18"/>
    </w:rPr>
  </w:style>
  <w:style w:type="character" w:customStyle="1" w:styleId="26">
    <w:name w:val="页脚 字符"/>
    <w:basedOn w:val="19"/>
    <w:link w:val="10"/>
    <w:qFormat/>
    <w:uiPriority w:val="99"/>
    <w:rPr>
      <w:sz w:val="18"/>
      <w:szCs w:val="18"/>
    </w:rPr>
  </w:style>
  <w:style w:type="character" w:customStyle="1" w:styleId="27">
    <w:name w:val="纯文本 Char1"/>
    <w:basedOn w:val="19"/>
    <w:qFormat/>
    <w:uiPriority w:val="99"/>
    <w:rPr>
      <w:rFonts w:ascii="宋体" w:hAnsi="Courier New" w:eastAsia="宋体" w:cs="Courier New"/>
      <w:szCs w:val="21"/>
    </w:rPr>
  </w:style>
  <w:style w:type="paragraph" w:customStyle="1" w:styleId="28">
    <w:name w:val="正文 New"/>
    <w:qFormat/>
    <w:uiPriority w:val="0"/>
    <w:pPr>
      <w:widowControl w:val="0"/>
      <w:snapToGrid w:val="0"/>
      <w:spacing w:before="60" w:after="60" w:line="278" w:lineRule="auto"/>
      <w:jc w:val="both"/>
    </w:pPr>
    <w:rPr>
      <w:rFonts w:ascii="Times New Roman" w:hAnsi="Times New Roman" w:eastAsia="宋体" w:cs="Times New Roman"/>
      <w:kern w:val="2"/>
      <w:sz w:val="24"/>
      <w:lang w:val="en-US" w:eastAsia="zh-CN" w:bidi="ar-SA"/>
    </w:rPr>
  </w:style>
  <w:style w:type="paragraph" w:customStyle="1" w:styleId="29">
    <w:name w:val="DocExCode"/>
    <w:basedOn w:val="1"/>
    <w:qFormat/>
    <w:uiPriority w:val="0"/>
    <w:pPr>
      <w:widowControl/>
      <w:pBdr>
        <w:top w:val="single" w:color="auto" w:sz="4" w:space="1"/>
      </w:pBdr>
      <w:jc w:val="left"/>
    </w:pPr>
    <w:rPr>
      <w:rFonts w:ascii="Arial" w:hAnsi="Arial"/>
      <w:kern w:val="20"/>
      <w:sz w:val="16"/>
      <w:lang w:eastAsia="en-US"/>
    </w:rPr>
  </w:style>
  <w:style w:type="paragraph" w:styleId="30">
    <w:name w:val="No Spacing"/>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31">
    <w:name w:val="批注框文本 字符"/>
    <w:basedOn w:val="19"/>
    <w:link w:val="9"/>
    <w:semiHidden/>
    <w:qFormat/>
    <w:uiPriority w:val="99"/>
    <w:rPr>
      <w:rFonts w:ascii="Times New Roman" w:hAnsi="Times New Roman" w:eastAsia="宋体" w:cs="Times New Roman"/>
      <w:sz w:val="18"/>
      <w:szCs w:val="18"/>
    </w:rPr>
  </w:style>
  <w:style w:type="character" w:customStyle="1" w:styleId="32">
    <w:name w:val="文档结构图 字符"/>
    <w:basedOn w:val="19"/>
    <w:link w:val="4"/>
    <w:semiHidden/>
    <w:qFormat/>
    <w:uiPriority w:val="99"/>
    <w:rPr>
      <w:rFonts w:ascii="宋体" w:hAnsi="Times New Roman" w:eastAsia="宋体" w:cs="Times New Roman"/>
      <w:sz w:val="18"/>
      <w:szCs w:val="18"/>
    </w:rPr>
  </w:style>
  <w:style w:type="paragraph" w:styleId="33">
    <w:name w:val="List Paragraph"/>
    <w:basedOn w:val="1"/>
    <w:qFormat/>
    <w:uiPriority w:val="34"/>
    <w:pPr>
      <w:ind w:firstLine="420" w:firstLineChars="200"/>
    </w:pPr>
  </w:style>
  <w:style w:type="paragraph" w:customStyle="1" w:styleId="34">
    <w:name w:val="XW正文"/>
    <w:qFormat/>
    <w:uiPriority w:val="0"/>
    <w:pPr>
      <w:adjustRightInd w:val="0"/>
      <w:spacing w:after="160" w:line="360" w:lineRule="auto"/>
    </w:pPr>
    <w:rPr>
      <w:rFonts w:ascii="Times New Roman" w:hAnsi="Times New Roman" w:eastAsia="宋体" w:cs="Times New Roman"/>
      <w:sz w:val="24"/>
      <w:lang w:val="en-US" w:eastAsia="zh-CN" w:bidi="ar-SA"/>
    </w:rPr>
  </w:style>
  <w:style w:type="paragraph" w:customStyle="1" w:styleId="35">
    <w:name w:val="p0"/>
    <w:basedOn w:val="1"/>
    <w:qFormat/>
    <w:uiPriority w:val="0"/>
    <w:pPr>
      <w:widowControl/>
    </w:pPr>
    <w:rPr>
      <w:kern w:val="0"/>
      <w:sz w:val="32"/>
      <w:szCs w:val="32"/>
    </w:rPr>
  </w:style>
  <w:style w:type="character" w:customStyle="1" w:styleId="36">
    <w:name w:val="批注文字 字符"/>
    <w:basedOn w:val="19"/>
    <w:link w:val="5"/>
    <w:semiHidden/>
    <w:qFormat/>
    <w:uiPriority w:val="99"/>
    <w:rPr>
      <w:rFonts w:ascii="Times New Roman" w:hAnsi="Times New Roman" w:eastAsia="宋体" w:cs="Times New Roman"/>
      <w:szCs w:val="24"/>
    </w:rPr>
  </w:style>
  <w:style w:type="character" w:customStyle="1" w:styleId="37">
    <w:name w:val="批注主题 字符"/>
    <w:basedOn w:val="36"/>
    <w:link w:val="16"/>
    <w:semiHidden/>
    <w:qFormat/>
    <w:uiPriority w:val="99"/>
    <w:rPr>
      <w:rFonts w:ascii="Times New Roman" w:hAnsi="Times New Roman" w:eastAsia="宋体" w:cs="Times New Roman"/>
      <w:b/>
      <w:bCs/>
      <w:szCs w:val="24"/>
    </w:rPr>
  </w:style>
  <w:style w:type="paragraph" w:customStyle="1" w:styleId="38">
    <w:name w:val="修订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39">
    <w:name w:val="标题 字符"/>
    <w:basedOn w:val="19"/>
    <w:link w:val="15"/>
    <w:qFormat/>
    <w:uiPriority w:val="0"/>
    <w:rPr>
      <w:rFonts w:ascii="Cambria" w:hAnsi="Cambria" w:eastAsia="宋体" w:cs="Times New Roman"/>
      <w:b/>
      <w:bCs/>
      <w:sz w:val="30"/>
      <w:szCs w:val="32"/>
    </w:rPr>
  </w:style>
  <w:style w:type="paragraph" w:customStyle="1" w:styleId="4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日期 字符"/>
    <w:basedOn w:val="19"/>
    <w:link w:val="8"/>
    <w:semiHidden/>
    <w:qFormat/>
    <w:uiPriority w:val="99"/>
    <w:rPr>
      <w:rFonts w:ascii="Times New Roman" w:hAnsi="Times New Roman" w:eastAsia="宋体" w:cs="Times New Roman"/>
      <w:szCs w:val="24"/>
    </w:rPr>
  </w:style>
  <w:style w:type="paragraph" w:customStyle="1" w:styleId="42">
    <w:name w:val="表格文本"/>
    <w:basedOn w:val="1"/>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line="400" w:lineRule="exact"/>
      <w:ind w:firstLine="0" w:firstLineChars="0"/>
    </w:pPr>
    <w:rPr>
      <w:rFonts w:ascii="仿宋" w:hAnsi="仿宋" w:eastAsia="仿宋" w:cs="Courier New"/>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6870</Words>
  <Characters>7115</Characters>
  <Lines>78</Lines>
  <Paragraphs>21</Paragraphs>
  <TotalTime>3</TotalTime>
  <ScaleCrop>false</ScaleCrop>
  <LinksUpToDate>false</LinksUpToDate>
  <CharactersWithSpaces>7550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2016-11-10T10:10:00Z</dcterms:created>
  <dc:creator>admin</dc:creator>
  <dc:description>国家能源集团非招标采购示范文本
版本：第一版
编辑：国电物资集团
定稿：2019年10月07日</dc:description>
  <cp:lastModifiedBy>Administrator</cp:lastModifiedBy>
  <cp:lastPrinted>2024-11-05T09:04:00Z</cp:lastPrinted>
  <dcterms:modified xsi:type="dcterms:W3CDTF">2026-08-05T02:00:49Z</dcterms:modified>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F9092CBE81CD2F57BC3F6D6A253B928A_43</vt:lpwstr>
  </property>
  <property fmtid="{D5CDD505-2E9C-101B-9397-08002B2CF9AE}" pid="4" name="KSOTemplateDocerSaveRecord">
    <vt:lpwstr>eyJoZGlkIjoiYjQ1MmQzMmNkNmU5NDFmZjM2ZTg0YmIzNjI4YTk4YmEiLCJ1c2VySWQiOiIyNzMwNjc3NzYifQ==</vt:lpwstr>
  </property>
</Properties>
</file>